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7A3C7" w14:textId="77777777" w:rsidR="00D23A93" w:rsidRPr="00D479C3" w:rsidRDefault="00D23A93" w:rsidP="00D23A93">
      <w:pPr>
        <w:tabs>
          <w:tab w:val="left" w:pos="4678"/>
        </w:tabs>
        <w:spacing w:after="0" w:line="240" w:lineRule="auto"/>
        <w:ind w:left="10" w:right="62"/>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E82B483" w14:textId="77777777" w:rsidR="00D23A93" w:rsidRDefault="00D23A93" w:rsidP="00D23A93">
      <w:pPr>
        <w:spacing w:after="0" w:line="240" w:lineRule="auto"/>
        <w:jc w:val="center"/>
        <w:rPr>
          <w:rFonts w:eastAsiaTheme="minorHAnsi"/>
          <w:b/>
          <w:color w:val="auto"/>
          <w:szCs w:val="24"/>
          <w:lang w:eastAsia="en-US"/>
        </w:rPr>
      </w:pPr>
    </w:p>
    <w:p w14:paraId="05253D8E" w14:textId="3373D6C6" w:rsidR="008F4B1C" w:rsidRDefault="008F4B1C" w:rsidP="00D23A93">
      <w:pPr>
        <w:spacing w:after="0" w:line="240" w:lineRule="auto"/>
        <w:jc w:val="center"/>
        <w:rPr>
          <w:rFonts w:eastAsiaTheme="minorHAnsi"/>
          <w:b/>
          <w:color w:val="auto"/>
          <w:szCs w:val="24"/>
          <w:lang w:eastAsia="en-US"/>
        </w:rPr>
      </w:pPr>
      <w:r w:rsidRPr="008F4B1C">
        <w:rPr>
          <w:rFonts w:eastAsiaTheme="minorHAnsi"/>
          <w:b/>
          <w:color w:val="auto"/>
          <w:szCs w:val="24"/>
          <w:lang w:eastAsia="en-US"/>
        </w:rPr>
        <w:t>DECRETO</w:t>
      </w:r>
    </w:p>
    <w:p w14:paraId="7E034903" w14:textId="77777777" w:rsidR="00D23A93" w:rsidRPr="008F4B1C" w:rsidRDefault="00D23A93" w:rsidP="00D23A93">
      <w:pPr>
        <w:spacing w:after="0" w:line="240" w:lineRule="auto"/>
        <w:jc w:val="center"/>
        <w:rPr>
          <w:rFonts w:eastAsiaTheme="minorHAnsi"/>
          <w:b/>
          <w:color w:val="auto"/>
          <w:szCs w:val="24"/>
          <w:lang w:eastAsia="en-US"/>
        </w:rPr>
      </w:pPr>
    </w:p>
    <w:p w14:paraId="00B73620" w14:textId="77777777" w:rsidR="008F4B1C" w:rsidRPr="008F4B1C" w:rsidRDefault="008F4B1C" w:rsidP="008F4B1C">
      <w:pPr>
        <w:spacing w:after="160" w:line="259" w:lineRule="auto"/>
        <w:ind w:left="0" w:right="0" w:firstLine="0"/>
        <w:jc w:val="center"/>
        <w:rPr>
          <w:rFonts w:eastAsia="Calibri"/>
          <w:b/>
          <w:color w:val="auto"/>
          <w:szCs w:val="24"/>
          <w:lang w:eastAsia="en-US"/>
        </w:rPr>
      </w:pPr>
      <w:r w:rsidRPr="008F4B1C">
        <w:rPr>
          <w:rFonts w:eastAsiaTheme="minorHAnsi"/>
          <w:b/>
          <w:color w:val="auto"/>
          <w:szCs w:val="24"/>
          <w:lang w:eastAsia="en-US"/>
        </w:rPr>
        <w:t xml:space="preserve">Por el que se modifica </w:t>
      </w:r>
      <w:r w:rsidRPr="008F4B1C">
        <w:rPr>
          <w:rFonts w:eastAsia="Calibri"/>
          <w:b/>
          <w:color w:val="auto"/>
          <w:szCs w:val="24"/>
          <w:lang w:eastAsia="en-US"/>
        </w:rPr>
        <w:t>el Código Fiscal del Estado de Yucatán, la Ley de Coordinación Fiscal del Estado de Yucatán, y la Ley del Presupuesto y Contabilidad Gubernamental del Estado de Yucatán.</w:t>
      </w:r>
    </w:p>
    <w:p w14:paraId="0FA40C52" w14:textId="328F194E" w:rsidR="008F4B1C" w:rsidRPr="008F4B1C" w:rsidRDefault="008F4B1C" w:rsidP="00D23A93">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 xml:space="preserve">Artículo Primero. </w:t>
      </w:r>
      <w:r w:rsidRPr="008F4B1C">
        <w:rPr>
          <w:rFonts w:eastAsia="Calibri"/>
          <w:color w:val="auto"/>
          <w:szCs w:val="24"/>
          <w:lang w:eastAsia="en-US"/>
        </w:rPr>
        <w:t>Se reforma el</w:t>
      </w:r>
      <w:r w:rsidRPr="008F4B1C">
        <w:rPr>
          <w:rFonts w:eastAsia="Calibri"/>
          <w:b/>
          <w:color w:val="auto"/>
          <w:szCs w:val="24"/>
          <w:lang w:eastAsia="en-US"/>
        </w:rPr>
        <w:t xml:space="preserve"> </w:t>
      </w:r>
      <w:r w:rsidRPr="008F4B1C">
        <w:rPr>
          <w:rFonts w:eastAsia="Calibri"/>
          <w:color w:val="auto"/>
          <w:szCs w:val="24"/>
          <w:lang w:eastAsia="en-US"/>
        </w:rPr>
        <w:t>artículo 21; se reforma el párrafo primero del artículo 75; se reforma el artículo 105</w:t>
      </w:r>
      <w:r w:rsidRPr="008F4B1C">
        <w:rPr>
          <w:rFonts w:eastAsia="Calibri"/>
          <w:bCs/>
          <w:color w:val="auto"/>
          <w:szCs w:val="24"/>
          <w:lang w:eastAsia="en-US"/>
        </w:rPr>
        <w:t>; se reforman las fracciones VIII y IX</w:t>
      </w:r>
      <w:r w:rsidRPr="008F4B1C">
        <w:rPr>
          <w:rFonts w:eastAsia="Calibri"/>
          <w:color w:val="auto"/>
          <w:szCs w:val="24"/>
          <w:lang w:eastAsia="en-US"/>
        </w:rPr>
        <w:t xml:space="preserve"> </w:t>
      </w:r>
      <w:r w:rsidRPr="008F4B1C">
        <w:rPr>
          <w:rFonts w:eastAsia="Calibri"/>
          <w:bCs/>
          <w:color w:val="auto"/>
          <w:szCs w:val="24"/>
          <w:lang w:eastAsia="en-US"/>
        </w:rPr>
        <w:t>y se adicionan las fracciones X y XI al a</w:t>
      </w:r>
      <w:r w:rsidR="00D23A93">
        <w:rPr>
          <w:rFonts w:eastAsia="Calibri"/>
          <w:bCs/>
          <w:color w:val="auto"/>
          <w:szCs w:val="24"/>
          <w:lang w:eastAsia="en-US"/>
        </w:rPr>
        <w:t xml:space="preserve">rtículo 106, y se reforman los </w:t>
      </w:r>
      <w:r w:rsidRPr="008F4B1C">
        <w:rPr>
          <w:rFonts w:eastAsia="Calibri"/>
          <w:bCs/>
          <w:color w:val="auto"/>
          <w:szCs w:val="24"/>
          <w:lang w:eastAsia="en-US"/>
        </w:rPr>
        <w:t>artículos</w:t>
      </w:r>
      <w:r w:rsidRPr="008F4B1C">
        <w:rPr>
          <w:rFonts w:eastAsia="Calibri"/>
          <w:color w:val="auto"/>
          <w:szCs w:val="24"/>
          <w:lang w:eastAsia="en-US"/>
        </w:rPr>
        <w:t xml:space="preserve"> 107, 109, 109-B, 111, 113, 115 y 116, todos, del Código Fiscal del Estado de Yucatán, para quedar como sigue:</w:t>
      </w:r>
    </w:p>
    <w:p w14:paraId="23795D17"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bCs/>
          <w:color w:val="auto"/>
          <w:szCs w:val="24"/>
          <w:lang w:eastAsia="en-US"/>
        </w:rPr>
        <w:t>Artículo 21.</w:t>
      </w:r>
      <w:r w:rsidRPr="008F4B1C">
        <w:rPr>
          <w:rFonts w:eastAsia="Calibri"/>
          <w:color w:val="auto"/>
          <w:szCs w:val="24"/>
          <w:lang w:eastAsia="en-US"/>
        </w:rPr>
        <w:t xml:space="preserve"> Cuando las leyes fiscales estatales hagan referencia al salario mínimo o a la UMA, se entenderá que se refieren al salario mínimo vigente o a la unidad de medida y actualización, en su valor actualizado, respectivamente.</w:t>
      </w:r>
    </w:p>
    <w:p w14:paraId="01F4FC49" w14:textId="77777777" w:rsidR="008F4B1C" w:rsidRPr="008F4B1C" w:rsidRDefault="008F4B1C" w:rsidP="008F4B1C">
      <w:pPr>
        <w:spacing w:beforeAutospacing="1" w:after="200" w:afterAutospacing="1" w:line="240" w:lineRule="auto"/>
        <w:ind w:left="0" w:right="0" w:firstLine="0"/>
        <w:rPr>
          <w:rFonts w:eastAsia="Times New Roman"/>
          <w:color w:val="auto"/>
          <w:szCs w:val="24"/>
          <w:lang w:val="es-ES_tradnl" w:eastAsia="es-ES_tradnl"/>
        </w:rPr>
      </w:pPr>
      <w:r w:rsidRPr="008F4B1C">
        <w:rPr>
          <w:rFonts w:eastAsia="Times New Roman"/>
          <w:b/>
          <w:color w:val="auto"/>
          <w:szCs w:val="24"/>
          <w:lang w:val="es-ES_tradnl" w:eastAsia="es-ES_tradnl"/>
        </w:rPr>
        <w:t>Artículo 75.</w:t>
      </w:r>
      <w:r w:rsidRPr="008F4B1C">
        <w:rPr>
          <w:rFonts w:eastAsia="Times New Roman"/>
          <w:color w:val="auto"/>
          <w:szCs w:val="24"/>
          <w:lang w:val="es-ES_tradnl" w:eastAsia="es-ES_tradnl"/>
        </w:rPr>
        <w:t xml:space="preserve"> Se presumirán ciertos, salvo prueba en contrario, los hechos afirmados en los dictámenes formulados por los contadores públicos sobre los estados financieros de los contribuyentes, que tengan repercusiones para contribuciones locales, siempre que reúnan los requisitos establecidos en las disposiciones de carácter general que emita la Agencia de Administración Fiscal de Yucatán y los siguientes:</w:t>
      </w:r>
    </w:p>
    <w:p w14:paraId="2E7F2BD7" w14:textId="77777777" w:rsidR="008F4B1C" w:rsidRPr="008F4B1C" w:rsidRDefault="008F4B1C" w:rsidP="008F4B1C">
      <w:pPr>
        <w:spacing w:beforeAutospacing="1" w:after="200" w:afterAutospacing="1" w:line="240" w:lineRule="auto"/>
        <w:ind w:left="0"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I. Que el contador público esté registrado ante la Agencia de Administración Fiscal de Yucatán, para lo cual deberá acreditar que cumple los siguientes requisitos:</w:t>
      </w:r>
    </w:p>
    <w:p w14:paraId="5FC1927D" w14:textId="77777777" w:rsidR="008F4B1C" w:rsidRPr="008F4B1C" w:rsidRDefault="008F4B1C" w:rsidP="008F4B1C">
      <w:pPr>
        <w:spacing w:beforeAutospacing="1" w:after="200" w:afterAutospacing="1" w:line="240" w:lineRule="auto"/>
        <w:ind w:left="709"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 xml:space="preserve">a) Ser de nacionalidad mexicana; </w:t>
      </w:r>
    </w:p>
    <w:p w14:paraId="201DA12A" w14:textId="77777777" w:rsidR="008F4B1C" w:rsidRPr="008F4B1C" w:rsidRDefault="008F4B1C" w:rsidP="008F4B1C">
      <w:pPr>
        <w:spacing w:beforeAutospacing="1" w:after="200" w:afterAutospacing="1" w:line="240" w:lineRule="auto"/>
        <w:ind w:left="709" w:right="0" w:firstLine="709"/>
        <w:rPr>
          <w:rFonts w:eastAsia="Times New Roman"/>
          <w:color w:val="auto"/>
          <w:szCs w:val="24"/>
          <w:lang w:val="es-ES_tradnl" w:eastAsia="es-ES_tradnl"/>
        </w:rPr>
      </w:pPr>
      <w:r w:rsidRPr="008F4B1C">
        <w:rPr>
          <w:rFonts w:eastAsia="Times New Roman"/>
          <w:color w:val="auto"/>
          <w:szCs w:val="24"/>
          <w:lang w:val="es-ES_tradnl" w:eastAsia="es-ES_tradnl"/>
        </w:rPr>
        <w:lastRenderedPageBreak/>
        <w:t>b) Tener título profesional de contador público registrado ante la Secretaría de Educación Pública;</w:t>
      </w:r>
    </w:p>
    <w:p w14:paraId="2BBC78AA" w14:textId="77777777" w:rsidR="008F4B1C" w:rsidRPr="008F4B1C" w:rsidRDefault="008F4B1C" w:rsidP="008F4B1C">
      <w:pPr>
        <w:spacing w:beforeAutospacing="1" w:after="200" w:afterAutospacing="1" w:line="240" w:lineRule="auto"/>
        <w:ind w:left="709"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c) Ser miembro de un colegio profesional o asociación, en ambos casos, de contadores públicos reconocidos por la Secretaría de Educación Pública, con una antigüedad no menor a tres años a la fecha de presentación de la solicitud del registro respondiente;</w:t>
      </w:r>
    </w:p>
    <w:p w14:paraId="786DD245" w14:textId="77777777" w:rsidR="008F4B1C" w:rsidRPr="008F4B1C" w:rsidRDefault="008F4B1C" w:rsidP="008F4B1C">
      <w:pPr>
        <w:spacing w:beforeAutospacing="1" w:after="200" w:afterAutospacing="1" w:line="240" w:lineRule="auto"/>
        <w:ind w:left="709"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d) Estar inscrito en el Registro Estatal de Profesionistas;</w:t>
      </w:r>
    </w:p>
    <w:p w14:paraId="282889F8" w14:textId="77777777" w:rsidR="008F4B1C" w:rsidRPr="008F4B1C" w:rsidRDefault="008F4B1C" w:rsidP="008F4B1C">
      <w:pPr>
        <w:spacing w:beforeAutospacing="1" w:after="200" w:afterAutospacing="1" w:line="240" w:lineRule="auto"/>
        <w:ind w:left="709"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e) Contar con certificación expedida por los colegios profesionales o asociaciones de contadores públicos, registrados y autorizados por la Secretaría de Educación Pública y que cuenten con el certificado de idoneidad emitido por esta;</w:t>
      </w:r>
    </w:p>
    <w:p w14:paraId="3641ADF6" w14:textId="77777777" w:rsidR="008F4B1C" w:rsidRPr="008F4B1C" w:rsidRDefault="008F4B1C" w:rsidP="008F4B1C">
      <w:pPr>
        <w:spacing w:beforeAutospacing="1" w:after="200" w:afterAutospacing="1" w:line="240" w:lineRule="auto"/>
        <w:ind w:left="709"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f) Tener experiencia mínima de tres años participando en la elaboración de dictámenes fiscales, a la fecha de presentación de la solicitud de registro correspondiente, y</w:t>
      </w:r>
    </w:p>
    <w:p w14:paraId="10BB790E" w14:textId="77777777" w:rsidR="008F4B1C" w:rsidRPr="008F4B1C" w:rsidRDefault="008F4B1C" w:rsidP="008F4B1C">
      <w:pPr>
        <w:spacing w:beforeAutospacing="1" w:after="200" w:afterAutospacing="1" w:line="240" w:lineRule="auto"/>
        <w:ind w:left="709"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g) Los demás que establezca la Agencia de Administración Fiscal de Yucatán mediante reglas de carácter general.</w:t>
      </w:r>
    </w:p>
    <w:p w14:paraId="031FDAE4" w14:textId="77777777" w:rsidR="008F4B1C" w:rsidRPr="008F4B1C" w:rsidRDefault="008F4B1C" w:rsidP="008F4B1C">
      <w:pPr>
        <w:spacing w:beforeAutospacing="1" w:after="200" w:afterAutospacing="1" w:line="240" w:lineRule="auto"/>
        <w:ind w:left="0" w:right="0" w:firstLine="708"/>
        <w:rPr>
          <w:rFonts w:eastAsia="Times New Roman"/>
          <w:color w:val="auto"/>
          <w:szCs w:val="24"/>
          <w:lang w:val="es-ES_tradnl" w:eastAsia="es-ES_tradnl"/>
        </w:rPr>
      </w:pPr>
      <w:r w:rsidRPr="008F4B1C">
        <w:rPr>
          <w:rFonts w:eastAsia="Times New Roman"/>
          <w:color w:val="auto"/>
          <w:szCs w:val="24"/>
          <w:lang w:val="es-ES_tradnl" w:eastAsia="es-ES_tradnl"/>
        </w:rPr>
        <w:t>Adicionalmente, podrán obtener el registro ante la Agencia de Administración Fiscal de Yucatán las personas extranjeras con derecho a dictaminar conforme a los tratados internacionales de que México sea parte, siempre que acrediten que cuentan con este derecho.</w:t>
      </w:r>
    </w:p>
    <w:p w14:paraId="781D1745" w14:textId="77777777" w:rsidR="008F4B1C" w:rsidRPr="008F4B1C" w:rsidRDefault="008F4B1C" w:rsidP="008F4B1C">
      <w:pPr>
        <w:spacing w:beforeAutospacing="1" w:after="200" w:afterAutospacing="1" w:line="240" w:lineRule="auto"/>
        <w:ind w:left="0" w:right="0" w:firstLine="708"/>
        <w:rPr>
          <w:rFonts w:eastAsia="Times New Roman"/>
          <w:color w:val="auto"/>
          <w:szCs w:val="24"/>
          <w:lang w:val="es-ES_tradnl" w:eastAsia="es-ES_tradnl"/>
        </w:rPr>
      </w:pPr>
      <w:r w:rsidRPr="008F4B1C">
        <w:rPr>
          <w:rFonts w:eastAsia="Times New Roman"/>
          <w:color w:val="auto"/>
          <w:szCs w:val="24"/>
          <w:lang w:val="es-ES_tradnl" w:eastAsia="es-ES_tradnl"/>
        </w:rPr>
        <w:t>Los contadores públicos serán dados de baja del registro que lleva la Agencia de Administración Fiscal de Yucatán en términos de esta fracción, cuando no formulen dictamen sobre las contribuciones estatales de las personas físicas, morales o unidades económicas en un periodo de cinco años, contado a partir de la presentación del último dictamen formulado el contador público.</w:t>
      </w:r>
    </w:p>
    <w:p w14:paraId="0F12A5FC" w14:textId="77777777" w:rsidR="008F4B1C" w:rsidRPr="008F4B1C" w:rsidRDefault="008F4B1C" w:rsidP="008F4B1C">
      <w:pPr>
        <w:spacing w:beforeAutospacing="1" w:after="200" w:afterAutospacing="1" w:line="240" w:lineRule="auto"/>
        <w:ind w:left="0" w:right="0" w:firstLine="708"/>
        <w:rPr>
          <w:rFonts w:eastAsia="Times New Roman"/>
          <w:color w:val="auto"/>
          <w:szCs w:val="24"/>
          <w:lang w:val="es-ES_tradnl" w:eastAsia="es-ES_tradnl"/>
        </w:rPr>
      </w:pPr>
      <w:r w:rsidRPr="008F4B1C">
        <w:rPr>
          <w:rFonts w:eastAsia="Times New Roman"/>
          <w:color w:val="auto"/>
          <w:szCs w:val="24"/>
          <w:lang w:val="es-ES_tradnl" w:eastAsia="es-ES_tradnl"/>
        </w:rPr>
        <w:t xml:space="preserve">Una vez que se dé de baja al contador público del registro, la Agencia de Administración Fiscal de Yucatán le dará aviso por escrito inmediatamente, así como al colegio profesional o a la asociación de contadores públicos al que pertenezca. El contador público podrá solicitar a la referida agencia que deje sin </w:t>
      </w:r>
      <w:r w:rsidRPr="008F4B1C">
        <w:rPr>
          <w:rFonts w:eastAsia="Times New Roman"/>
          <w:color w:val="auto"/>
          <w:szCs w:val="24"/>
          <w:lang w:val="es-ES_tradnl" w:eastAsia="es-ES_tradnl"/>
        </w:rPr>
        <w:lastRenderedPageBreak/>
        <w:t>efectos la baja del registro antes citado, siempre que lo solicite por escrito en un plazo de 30 días hábiles posteriores a la fecha en que reciba el aviso a que se refiere este párrafo.</w:t>
      </w:r>
    </w:p>
    <w:p w14:paraId="59767EF3" w14:textId="77777777" w:rsidR="008F4B1C" w:rsidRPr="008F4B1C" w:rsidRDefault="008F4B1C" w:rsidP="008F4B1C">
      <w:pPr>
        <w:spacing w:beforeAutospacing="1" w:after="200" w:afterAutospacing="1" w:line="240" w:lineRule="auto"/>
        <w:ind w:left="0"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II. Que el dictamen que emita el contador público se formule conforme a las normas de auditoría que regulan la capacidad, independencia e imparcialidad de ese profesional respecto al trabajo que desempeña y la información que rinda como resultado de este, y</w:t>
      </w:r>
    </w:p>
    <w:p w14:paraId="31F11847" w14:textId="77777777" w:rsidR="008F4B1C" w:rsidRPr="008F4B1C" w:rsidRDefault="008F4B1C" w:rsidP="008F4B1C">
      <w:pPr>
        <w:spacing w:beforeAutospacing="1" w:after="200" w:afterAutospacing="1" w:line="240" w:lineRule="auto"/>
        <w:ind w:left="0" w:right="0" w:firstLine="709"/>
        <w:rPr>
          <w:rFonts w:eastAsia="Times New Roman"/>
          <w:color w:val="auto"/>
          <w:szCs w:val="24"/>
          <w:lang w:val="es-ES_tradnl" w:eastAsia="es-ES_tradnl"/>
        </w:rPr>
      </w:pPr>
      <w:r w:rsidRPr="008F4B1C">
        <w:rPr>
          <w:rFonts w:eastAsia="Times New Roman"/>
          <w:color w:val="auto"/>
          <w:szCs w:val="24"/>
          <w:lang w:val="es-ES_tradnl" w:eastAsia="es-ES_tradnl"/>
        </w:rPr>
        <w:t>III. Que el contador público emita, conjuntamente con su dictamen y bajo protesta de decir verdad, un informe sobre la revisión de la situación fiscal del contribuyente.</w:t>
      </w:r>
    </w:p>
    <w:p w14:paraId="093D3A22" w14:textId="77777777" w:rsidR="008F4B1C" w:rsidRPr="008F4B1C" w:rsidRDefault="008F4B1C" w:rsidP="008F4B1C">
      <w:pPr>
        <w:spacing w:beforeAutospacing="1" w:after="200" w:afterAutospacing="1" w:line="240" w:lineRule="auto"/>
        <w:ind w:left="0" w:right="0" w:firstLine="0"/>
        <w:rPr>
          <w:rFonts w:eastAsia="Times New Roman"/>
          <w:color w:val="auto"/>
          <w:szCs w:val="24"/>
          <w:lang w:val="es-ES_tradnl" w:eastAsia="es-ES_tradnl"/>
        </w:rPr>
      </w:pPr>
      <w:r w:rsidRPr="008F4B1C">
        <w:rPr>
          <w:rFonts w:eastAsia="Times New Roman"/>
          <w:color w:val="auto"/>
          <w:szCs w:val="24"/>
          <w:lang w:val="es-ES_tradnl" w:eastAsia="es-ES_tradnl"/>
        </w:rPr>
        <w:t>...</w:t>
      </w:r>
    </w:p>
    <w:p w14:paraId="0CEBD1C4" w14:textId="77777777" w:rsidR="008F4B1C" w:rsidRPr="008F4B1C" w:rsidRDefault="008F4B1C" w:rsidP="008F4B1C">
      <w:pPr>
        <w:spacing w:beforeAutospacing="1" w:after="200" w:afterAutospacing="1" w:line="240" w:lineRule="auto"/>
        <w:ind w:left="0" w:right="0" w:firstLine="0"/>
        <w:rPr>
          <w:rFonts w:eastAsia="Times New Roman"/>
          <w:color w:val="auto"/>
          <w:szCs w:val="24"/>
          <w:lang w:val="es-ES_tradnl" w:eastAsia="es-ES_tradnl"/>
        </w:rPr>
      </w:pPr>
      <w:r w:rsidRPr="008F4B1C">
        <w:rPr>
          <w:rFonts w:eastAsia="Times New Roman"/>
          <w:color w:val="auto"/>
          <w:szCs w:val="24"/>
          <w:lang w:val="es-ES_tradnl" w:eastAsia="es-ES_tradnl"/>
        </w:rPr>
        <w:t>...</w:t>
      </w:r>
    </w:p>
    <w:p w14:paraId="4DDB1482" w14:textId="77777777" w:rsidR="008F4B1C" w:rsidRPr="008F4B1C" w:rsidRDefault="008F4B1C" w:rsidP="008F4B1C">
      <w:pPr>
        <w:spacing w:beforeAutospacing="1" w:after="200" w:afterAutospacing="1" w:line="240" w:lineRule="auto"/>
        <w:ind w:left="0" w:right="0" w:firstLine="0"/>
        <w:rPr>
          <w:rFonts w:eastAsia="Times New Roman"/>
          <w:color w:val="auto"/>
          <w:szCs w:val="24"/>
          <w:lang w:val="es-ES_tradnl" w:eastAsia="es-ES_tradnl"/>
        </w:rPr>
      </w:pPr>
      <w:r w:rsidRPr="008F4B1C">
        <w:rPr>
          <w:rFonts w:eastAsia="Times New Roman"/>
          <w:color w:val="auto"/>
          <w:szCs w:val="24"/>
          <w:lang w:val="es-ES_tradnl" w:eastAsia="es-ES_tradnl"/>
        </w:rPr>
        <w:t>...</w:t>
      </w:r>
    </w:p>
    <w:p w14:paraId="68AEA3EE"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 xml:space="preserve">Artículo 105. </w:t>
      </w:r>
      <w:r w:rsidRPr="008F4B1C">
        <w:rPr>
          <w:rFonts w:eastAsia="Calibri"/>
          <w:color w:val="auto"/>
          <w:szCs w:val="24"/>
          <w:lang w:eastAsia="en-US"/>
        </w:rPr>
        <w:t>A quien cometa las infracciones relacionadas con el Registro Estatal de Contribuyentes a que se refiere el artículo 104, se le impondrá multa de acuerdo con lo siguiente:</w:t>
      </w:r>
    </w:p>
    <w:p w14:paraId="0ED3C019" w14:textId="77777777" w:rsidR="008F4B1C" w:rsidRPr="008F4B1C" w:rsidRDefault="008F4B1C" w:rsidP="008F4B1C">
      <w:pPr>
        <w:spacing w:before="100" w:beforeAutospacing="1" w:after="100" w:afterAutospacing="1" w:line="240" w:lineRule="auto"/>
        <w:ind w:left="0" w:right="0" w:firstLine="709"/>
        <w:rPr>
          <w:rFonts w:eastAsia="Calibri"/>
          <w:bCs/>
          <w:color w:val="auto"/>
          <w:szCs w:val="24"/>
          <w:lang w:eastAsia="en-US"/>
        </w:rPr>
      </w:pPr>
      <w:r w:rsidRPr="008F4B1C">
        <w:rPr>
          <w:rFonts w:eastAsia="Calibri"/>
          <w:bCs/>
          <w:color w:val="auto"/>
          <w:szCs w:val="24"/>
          <w:lang w:eastAsia="en-US"/>
        </w:rPr>
        <w:t>I. De 20 a 62 UMA, a las comprendidas en las fracciones I, II y IV.</w:t>
      </w:r>
    </w:p>
    <w:p w14:paraId="6C7D425E"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II. Para la señalada en la fracción III:</w:t>
      </w:r>
    </w:p>
    <w:p w14:paraId="1C67EE56"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a) Tratándose de declaraciones, se impondrá una multa entre el 2% de las contribuciones declaradas y 44 UMA. En ningún caso la multa que resulte de aplicar el porcentaje a que se refiere este inciso será menor de 17 UMA ni mayor de 44 UMA.</w:t>
      </w:r>
    </w:p>
    <w:p w14:paraId="5A2F1928"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b) De 5 a 12 UMA, en los demás documentos.</w:t>
      </w:r>
    </w:p>
    <w:p w14:paraId="5BE4EB0C"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bCs/>
          <w:color w:val="auto"/>
          <w:szCs w:val="24"/>
          <w:lang w:eastAsia="en-US"/>
        </w:rPr>
        <w:t xml:space="preserve">Artículo 106. </w:t>
      </w:r>
      <w:r w:rsidRPr="008F4B1C">
        <w:rPr>
          <w:rFonts w:eastAsia="Calibri"/>
          <w:color w:val="auto"/>
          <w:szCs w:val="24"/>
          <w:lang w:eastAsia="en-US"/>
        </w:rPr>
        <w:t>…</w:t>
      </w:r>
    </w:p>
    <w:p w14:paraId="781A0B31"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 a la VII. …</w:t>
      </w:r>
    </w:p>
    <w:p w14:paraId="1A2C3CDB" w14:textId="1D13A2F9"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lastRenderedPageBreak/>
        <w:t xml:space="preserve">VIII. No adherir a las máquinas de juegos o equipo que corresponda el holograma a que se refiere el artículo 85-M </w:t>
      </w:r>
      <w:r w:rsidR="004E4318">
        <w:rPr>
          <w:rFonts w:eastAsia="Calibri"/>
          <w:color w:val="auto"/>
          <w:szCs w:val="24"/>
          <w:lang w:eastAsia="en-US"/>
        </w:rPr>
        <w:t>de la Ley General de Hacienda</w:t>
      </w:r>
      <w:r w:rsidRPr="008F4B1C">
        <w:rPr>
          <w:rFonts w:eastAsia="Calibri"/>
          <w:color w:val="auto"/>
          <w:szCs w:val="24"/>
          <w:lang w:eastAsia="en-US"/>
        </w:rPr>
        <w:t xml:space="preserve"> del Estado de Yucatán;</w:t>
      </w:r>
    </w:p>
    <w:p w14:paraId="2E276052" w14:textId="51D7B8C3"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 xml:space="preserve">IX. No presentar el aviso a que se refiere la fracción IV del artículo 85-N de la Ley </w:t>
      </w:r>
      <w:r w:rsidR="004E4318">
        <w:rPr>
          <w:rFonts w:eastAsia="Calibri"/>
          <w:color w:val="auto"/>
          <w:szCs w:val="24"/>
          <w:lang w:eastAsia="en-US"/>
        </w:rPr>
        <w:t>General de Hacienda</w:t>
      </w:r>
      <w:r w:rsidRPr="008F4B1C">
        <w:rPr>
          <w:rFonts w:eastAsia="Calibri"/>
          <w:color w:val="auto"/>
          <w:szCs w:val="24"/>
          <w:lang w:eastAsia="en-US"/>
        </w:rPr>
        <w:t xml:space="preserve"> del Estado de Yucatán;</w:t>
      </w:r>
    </w:p>
    <w:p w14:paraId="37A6FD8F" w14:textId="1B8BFC2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X. No presentar los avisos a los que se refieren las fracciones I y II del artículo 27 J</w:t>
      </w:r>
      <w:r w:rsidR="004E4318">
        <w:rPr>
          <w:rFonts w:eastAsia="Calibri"/>
          <w:color w:val="auto"/>
          <w:szCs w:val="24"/>
          <w:lang w:eastAsia="en-US"/>
        </w:rPr>
        <w:t xml:space="preserve"> de la Ley General de Hacienda</w:t>
      </w:r>
      <w:r w:rsidR="005641FD">
        <w:rPr>
          <w:rFonts w:eastAsia="Calibri"/>
          <w:color w:val="auto"/>
          <w:szCs w:val="24"/>
          <w:lang w:eastAsia="en-US"/>
        </w:rPr>
        <w:t xml:space="preserve"> </w:t>
      </w:r>
      <w:r w:rsidRPr="008F4B1C">
        <w:rPr>
          <w:rFonts w:eastAsia="Calibri"/>
          <w:color w:val="auto"/>
          <w:szCs w:val="24"/>
          <w:lang w:eastAsia="en-US"/>
        </w:rPr>
        <w:t>del Estado de Yucatán, y</w:t>
      </w:r>
    </w:p>
    <w:p w14:paraId="1C5A33A3" w14:textId="59704673"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XI. No presentar el aviso a que se refiere el artículo 27 K</w:t>
      </w:r>
      <w:r w:rsidR="004E4318">
        <w:rPr>
          <w:rFonts w:eastAsia="Calibri"/>
          <w:color w:val="auto"/>
          <w:szCs w:val="24"/>
          <w:lang w:eastAsia="en-US"/>
        </w:rPr>
        <w:t xml:space="preserve"> de la Ley General de</w:t>
      </w:r>
      <w:r w:rsidR="005641FD">
        <w:rPr>
          <w:rFonts w:eastAsia="Calibri"/>
          <w:color w:val="auto"/>
          <w:szCs w:val="24"/>
          <w:lang w:eastAsia="en-US"/>
        </w:rPr>
        <w:t xml:space="preserve"> Hac</w:t>
      </w:r>
      <w:r w:rsidR="004E4318">
        <w:rPr>
          <w:rFonts w:eastAsia="Calibri"/>
          <w:color w:val="auto"/>
          <w:szCs w:val="24"/>
          <w:lang w:eastAsia="en-US"/>
        </w:rPr>
        <w:t>ienda</w:t>
      </w:r>
      <w:r w:rsidRPr="008F4B1C">
        <w:rPr>
          <w:rFonts w:eastAsia="Calibri"/>
          <w:color w:val="auto"/>
          <w:szCs w:val="24"/>
          <w:lang w:eastAsia="en-US"/>
        </w:rPr>
        <w:t xml:space="preserve"> del Estado de Yucatán.</w:t>
      </w:r>
    </w:p>
    <w:p w14:paraId="4B7BC224"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 xml:space="preserve">Artículo 107. </w:t>
      </w:r>
      <w:r w:rsidRPr="008F4B1C">
        <w:rPr>
          <w:rFonts w:eastAsia="Calibri"/>
          <w:color w:val="auto"/>
          <w:szCs w:val="24"/>
          <w:lang w:eastAsia="en-US"/>
        </w:rPr>
        <w:t>A quien cometa las infracciones relacionadas con la obligación de presentar declaraciones, solicitudes o avisos, así como de expedir las constancias a que se refiere el artículo 106, se impondrán las siguientes multas:</w:t>
      </w:r>
    </w:p>
    <w:p w14:paraId="65D3B552" w14:textId="77777777" w:rsidR="008F4B1C" w:rsidRPr="008F4B1C" w:rsidRDefault="008F4B1C" w:rsidP="008F4B1C">
      <w:pPr>
        <w:spacing w:before="100" w:beforeAutospacing="1" w:after="100" w:afterAutospacing="1" w:line="240" w:lineRule="auto"/>
        <w:ind w:left="0" w:right="0" w:firstLine="709"/>
        <w:rPr>
          <w:rFonts w:eastAsia="Calibri"/>
          <w:bCs/>
          <w:color w:val="auto"/>
          <w:szCs w:val="24"/>
          <w:lang w:eastAsia="en-US"/>
        </w:rPr>
      </w:pPr>
      <w:r w:rsidRPr="008F4B1C">
        <w:rPr>
          <w:rFonts w:eastAsia="Calibri"/>
          <w:bCs/>
          <w:color w:val="auto"/>
          <w:szCs w:val="24"/>
          <w:lang w:eastAsia="en-US"/>
        </w:rPr>
        <w:t xml:space="preserve">I. </w:t>
      </w:r>
      <w:r w:rsidRPr="008F4B1C">
        <w:rPr>
          <w:rFonts w:eastAsia="Calibri"/>
          <w:color w:val="auto"/>
          <w:szCs w:val="24"/>
          <w:lang w:eastAsia="en-US"/>
        </w:rPr>
        <w:t>Para las señaladas en las fracciones I y II:</w:t>
      </w:r>
    </w:p>
    <w:p w14:paraId="05DFE741"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a) De 8 a 103 UMA, tratándose de declaraciones, por cada una de las obligaciones no declaradas. Si dentro de los seis meses siguientes a la fecha en que se presentó la declaración por la cual se impuso la multa, el contribuyente presenta declaración complementaria de aquella, declarando contribuciones adicionales por dicha declaración, también se aplicará la multa a que se refiere este inciso.</w:t>
      </w:r>
    </w:p>
    <w:p w14:paraId="79B761A1"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b) De 8 a 205 UMA, por cada obligación a que esté afecto al presentar una declaración, solicitud, aviso o constancia fuera del plazo señalado en el requerimiento o por su incumplimiento.</w:t>
      </w:r>
    </w:p>
    <w:p w14:paraId="0B296676"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 xml:space="preserve">c) De 79 a 157 UMA, por no presentar el aviso a que se refiere el párrafo segundo del artículo 34 de este Código. </w:t>
      </w:r>
    </w:p>
    <w:p w14:paraId="4E4C71D7"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d) De 8 a 27 UMA, en los demás documentos.</w:t>
      </w:r>
    </w:p>
    <w:p w14:paraId="65B82F0D"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II. Respecto de la infracción señalada en la fracción III:</w:t>
      </w:r>
    </w:p>
    <w:p w14:paraId="65F1FFC7"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lastRenderedPageBreak/>
        <w:t xml:space="preserve">a) De 6 a 20 UMA, por no poner el nombre o domicilio, o ponerlos equivocadamente, por cada uno. </w:t>
      </w:r>
    </w:p>
    <w:p w14:paraId="0FEE7161"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b) De 1 a 2 UMA, por cada dato no asentado o asentado incorrectamente.</w:t>
      </w:r>
    </w:p>
    <w:p w14:paraId="498041EC"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c) De 4 a 10 UMA, por no señalar la actividad preponderante conforme al catálogo vigente, o señalarla equivocadamente.</w:t>
      </w:r>
    </w:p>
    <w:p w14:paraId="586DD09A"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d) De 7 a 22 UMA, por presentar las declaraciones sin la firma del contribuyente o del representante legal debidamente acreditado.</w:t>
      </w:r>
    </w:p>
    <w:p w14:paraId="07E883EF"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e) De 4 a 10 UMA, en los demás casos.</w:t>
      </w:r>
    </w:p>
    <w:p w14:paraId="7E1A0F15"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III. De 8 a 205 UMA, tratándose de las señaladas en la fracción IV, por cada requerimiento.</w:t>
      </w:r>
    </w:p>
    <w:p w14:paraId="48C19FB9"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IV. De 103 a 205 UMA, respecto de la señalada en la fracción V.</w:t>
      </w:r>
    </w:p>
    <w:p w14:paraId="4719693A"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V. De 20 a 62 UMA, tratándose de la señalada en la fracción VI.</w:t>
      </w:r>
    </w:p>
    <w:p w14:paraId="34E6BAED"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VI. De 62 a 205 UMA, tratándose de la señalada en la fracción VII.</w:t>
      </w:r>
    </w:p>
    <w:p w14:paraId="129DDC4F"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VII. De 84 a 251 UMA, tratándose de la señalada en la fracción VIII.</w:t>
      </w:r>
    </w:p>
    <w:p w14:paraId="4D197DBE"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VIII. De 84 a 168 UMA, tratándose de la señalada en la fracción IX.</w:t>
      </w:r>
    </w:p>
    <w:p w14:paraId="65F9C0F5"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IX. De 132 a 395 UMA, tratándose de la señalada en la fracción X, por cada aviso.</w:t>
      </w:r>
    </w:p>
    <w:p w14:paraId="396C562A"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X. De 164 a 329 UMA, tratándose de la señalada en la fracción XI.</w:t>
      </w:r>
    </w:p>
    <w:p w14:paraId="0C3256F6"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 xml:space="preserve">Artículo 109. </w:t>
      </w:r>
      <w:r w:rsidRPr="008F4B1C">
        <w:rPr>
          <w:rFonts w:eastAsia="Calibri"/>
          <w:color w:val="auto"/>
          <w:szCs w:val="24"/>
          <w:lang w:eastAsia="en-US"/>
        </w:rPr>
        <w:t>A quien cometa las infracciones relacionadas con la obligación de llevar la contabilidad a que se refiere el artículo 108, se le impondrán las siguientes sanciones:</w:t>
      </w:r>
    </w:p>
    <w:p w14:paraId="023EDCB5"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 De 9 a 89 UMA, a la comprendida en la fracción I.</w:t>
      </w:r>
    </w:p>
    <w:p w14:paraId="40A5CE37"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lastRenderedPageBreak/>
        <w:t>II. De 2 a 45 UMA, a las establecidas en las fracciones II y III.</w:t>
      </w:r>
    </w:p>
    <w:p w14:paraId="33E4F23E"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III. De 2 a 36 UMA, a la señalada en la fracción IV.</w:t>
      </w:r>
    </w:p>
    <w:p w14:paraId="712E1255"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IV. De 5 a 71 UMA, a la señalada en la fracción V.</w:t>
      </w:r>
    </w:p>
    <w:p w14:paraId="0F82309B"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V. De 106 a 578 UMA, a la señalada en la fracción VI.</w:t>
      </w:r>
    </w:p>
    <w:p w14:paraId="108F692D"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VI. De 18 a 89 UMA, a la establecida en la fracción VII. La multa procederá sin perjuicio de que los documentos grabados en contravención de las disposiciones fiscales carezcan de valor probatorio.</w:t>
      </w:r>
    </w:p>
    <w:p w14:paraId="68C2A608"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Artículo 109-B.</w:t>
      </w:r>
      <w:r w:rsidRPr="008F4B1C">
        <w:rPr>
          <w:rFonts w:eastAsia="Calibri"/>
          <w:color w:val="auto"/>
          <w:szCs w:val="24"/>
          <w:lang w:eastAsia="en-US"/>
        </w:rPr>
        <w:t xml:space="preserve"> A quien cometa las infracciones relacionadas con las entidades financieras o sociedades cooperativas de ahorro y préstamo, a que se refiere el artículo 109-A de este Código se le impondrá una multa de 103 a 205 UMA, respecto de las señaladas en las fracciones I a la V del propio artículo.</w:t>
      </w:r>
    </w:p>
    <w:p w14:paraId="0E687413"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 xml:space="preserve">Artículo 111. </w:t>
      </w:r>
      <w:r w:rsidRPr="008F4B1C">
        <w:rPr>
          <w:rFonts w:eastAsia="Calibri"/>
          <w:color w:val="auto"/>
          <w:szCs w:val="24"/>
          <w:lang w:eastAsia="en-US"/>
        </w:rPr>
        <w:t>A quien cometa las infracciones relacionadas con el ejercicio de las facultades de comprobación a que se refiere el artículo 110, se impondrán las siguientes multas:</w:t>
      </w:r>
    </w:p>
    <w:p w14:paraId="5839B758"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 De 103 a 308 UMA, a la comprendida en la fracción I.</w:t>
      </w:r>
    </w:p>
    <w:p w14:paraId="393B9EE2"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II. De 9 a 370 UMA, a la establecida en la fracción II.</w:t>
      </w:r>
    </w:p>
    <w:p w14:paraId="3F4B1DDE"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III. De 19 a 487 UMA, a la establecida en la fracción III.</w:t>
      </w:r>
    </w:p>
    <w:p w14:paraId="3FC5985A"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IV. De 45 a 71 UMA, sin perjuicio de las demás sanciones que procedan, a la establecida en la fracción IV.</w:t>
      </w:r>
    </w:p>
    <w:p w14:paraId="1A729235"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 xml:space="preserve">Artículo 113. </w:t>
      </w:r>
      <w:r w:rsidRPr="008F4B1C">
        <w:rPr>
          <w:rFonts w:eastAsia="Calibri"/>
          <w:color w:val="auto"/>
          <w:szCs w:val="24"/>
          <w:lang w:eastAsia="en-US"/>
        </w:rPr>
        <w:t>Se sancionará con una multa de 784 a 1,045 UMA, a quien cometa infracciones a las disposiciones fiscales a que se refiere el artículo 112.</w:t>
      </w:r>
    </w:p>
    <w:p w14:paraId="385FC91B"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 xml:space="preserve">Artículo 115. </w:t>
      </w:r>
      <w:r w:rsidRPr="008F4B1C">
        <w:rPr>
          <w:rFonts w:eastAsia="Calibri"/>
          <w:color w:val="auto"/>
          <w:szCs w:val="24"/>
          <w:lang w:eastAsia="en-US"/>
        </w:rPr>
        <w:t>Se sancionará con una multa de 293 a 461 UMA, a quien cometa infracciones a las disposiciones fiscales a que se refiere el artículo 114.</w:t>
      </w:r>
    </w:p>
    <w:p w14:paraId="4DB2E015" w14:textId="77777777" w:rsidR="008F4B1C" w:rsidRDefault="008F4B1C" w:rsidP="00D23A93">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Artículo 116.</w:t>
      </w:r>
      <w:r w:rsidRPr="008F4B1C">
        <w:rPr>
          <w:rFonts w:eastAsia="Calibri"/>
          <w:color w:val="auto"/>
          <w:szCs w:val="24"/>
          <w:lang w:eastAsia="en-US"/>
        </w:rPr>
        <w:t xml:space="preserve"> La infracción a las disposiciones fiscales en forma diversa a las previstas en los demás artículos de este capítulo, se sancionará con multa de 2 a 19 UMA.</w:t>
      </w:r>
    </w:p>
    <w:p w14:paraId="624B6636" w14:textId="77777777" w:rsidR="008F4B1C" w:rsidRPr="008F4B1C" w:rsidRDefault="008F4B1C" w:rsidP="00D23A93">
      <w:pPr>
        <w:spacing w:before="100" w:beforeAutospacing="1" w:after="100" w:afterAutospacing="1" w:line="240" w:lineRule="auto"/>
        <w:ind w:left="0" w:right="0" w:firstLine="0"/>
        <w:rPr>
          <w:rFonts w:eastAsia="Calibri"/>
          <w:b/>
          <w:color w:val="auto"/>
          <w:szCs w:val="24"/>
          <w:lang w:eastAsia="en-US"/>
        </w:rPr>
      </w:pPr>
      <w:r w:rsidRPr="008F4B1C">
        <w:rPr>
          <w:rFonts w:eastAsia="Calibri"/>
          <w:b/>
          <w:color w:val="auto"/>
          <w:szCs w:val="24"/>
          <w:lang w:eastAsia="en-US"/>
        </w:rPr>
        <w:t xml:space="preserve">Artículo Segundo. </w:t>
      </w:r>
      <w:r w:rsidRPr="008F4B1C">
        <w:rPr>
          <w:rFonts w:eastAsia="Calibri"/>
          <w:color w:val="auto"/>
          <w:szCs w:val="24"/>
          <w:lang w:eastAsia="en-US"/>
        </w:rPr>
        <w:t>Se reforman la fracción V del artículo 6; y el inciso b) de la fracción III del artículo 6 bis; ambos de la Ley de Coordinación Fiscal del Estado de Yucatán, para quedar como sigue:</w:t>
      </w:r>
    </w:p>
    <w:p w14:paraId="019D04A1" w14:textId="77777777" w:rsidR="008F4B1C" w:rsidRPr="008F4B1C" w:rsidRDefault="008F4B1C" w:rsidP="008F4B1C">
      <w:pPr>
        <w:spacing w:before="100" w:beforeAutospacing="1" w:after="100" w:afterAutospacing="1" w:line="240" w:lineRule="auto"/>
        <w:ind w:left="0" w:right="0" w:firstLine="0"/>
        <w:rPr>
          <w:rFonts w:eastAsia="Calibri"/>
          <w:color w:val="auto"/>
          <w:szCs w:val="24"/>
          <w:lang w:eastAsia="en-US"/>
        </w:rPr>
      </w:pPr>
      <w:r w:rsidRPr="008F4B1C">
        <w:rPr>
          <w:rFonts w:eastAsia="Calibri"/>
          <w:b/>
          <w:color w:val="auto"/>
          <w:szCs w:val="24"/>
          <w:lang w:eastAsia="en-US"/>
        </w:rPr>
        <w:t>Artículo 6</w:t>
      </w:r>
      <w:r w:rsidRPr="008F4B1C">
        <w:rPr>
          <w:rFonts w:eastAsia="Calibri"/>
          <w:color w:val="auto"/>
          <w:szCs w:val="24"/>
          <w:lang w:eastAsia="en-US"/>
        </w:rPr>
        <w:t>.- ...</w:t>
      </w:r>
    </w:p>
    <w:p w14:paraId="7FC75440"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 xml:space="preserve">I. a la IV. … </w:t>
      </w:r>
      <w:bookmarkStart w:id="0" w:name="_GoBack"/>
      <w:bookmarkEnd w:id="0"/>
    </w:p>
    <w:p w14:paraId="1CF80B32"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V.- El 2.5% se distribuirá en la misma proporción que el Componente de Marginación de cada Municipio.</w:t>
      </w:r>
    </w:p>
    <w:p w14:paraId="72D24A6A" w14:textId="77777777" w:rsidR="008F4B1C" w:rsidRPr="008F4B1C" w:rsidRDefault="008F4B1C" w:rsidP="008F4B1C">
      <w:pPr>
        <w:spacing w:after="0" w:line="276" w:lineRule="auto"/>
        <w:ind w:left="0" w:right="0" w:firstLine="709"/>
        <w:rPr>
          <w:rFonts w:eastAsia="Calibri"/>
          <w:color w:val="auto"/>
          <w:szCs w:val="24"/>
          <w:lang w:eastAsia="en-US"/>
        </w:rPr>
      </w:pPr>
      <w:r w:rsidRPr="008F4B1C">
        <w:rPr>
          <w:rFonts w:eastAsia="Calibri"/>
          <w:color w:val="auto"/>
          <w:szCs w:val="24"/>
          <w:lang w:eastAsia="en-US"/>
        </w:rPr>
        <w:t>El Componente de Marginación resultará de la siguiente fórmula:</w:t>
      </w:r>
    </w:p>
    <w:p w14:paraId="087DA8C4" w14:textId="77777777" w:rsidR="008F4B1C" w:rsidRPr="008F4B1C" w:rsidRDefault="008F4B1C" w:rsidP="008F4B1C">
      <w:pPr>
        <w:spacing w:after="0" w:line="276" w:lineRule="auto"/>
        <w:ind w:left="0" w:right="0" w:firstLine="709"/>
        <w:rPr>
          <w:rFonts w:eastAsia="Calibri"/>
          <w:color w:val="auto"/>
          <w:szCs w:val="24"/>
          <w:lang w:eastAsia="en-US"/>
        </w:rPr>
      </w:pPr>
    </w:p>
    <w:p w14:paraId="57C01C2D" w14:textId="77777777" w:rsidR="008F4B1C" w:rsidRPr="008F4B1C" w:rsidRDefault="008F4B1C" w:rsidP="008F4B1C">
      <w:pPr>
        <w:spacing w:after="0" w:line="276" w:lineRule="auto"/>
        <w:ind w:left="0" w:right="0" w:firstLine="0"/>
        <w:rPr>
          <w:rFonts w:eastAsia="Calibri"/>
          <w:color w:val="auto"/>
          <w:szCs w:val="24"/>
          <w:lang w:val="es-ES" w:eastAsia="en-US"/>
        </w:rPr>
      </w:pPr>
      <m:oMathPara>
        <m:oMath>
          <m:r>
            <w:rPr>
              <w:rFonts w:ascii="Cambria Math" w:eastAsia="Calibri" w:hAnsi="Cambria Math"/>
              <w:color w:val="auto"/>
              <w:szCs w:val="24"/>
              <w:lang w:val="es-ES" w:eastAsia="en-US"/>
            </w:rPr>
            <m:t>C</m:t>
          </m:r>
          <m:sSub>
            <m:sSubPr>
              <m:ctrlPr>
                <w:rPr>
                  <w:rFonts w:ascii="Cambria Math" w:eastAsia="Calibri" w:hAnsi="Cambria Math"/>
                  <w:i/>
                  <w:color w:val="auto"/>
                  <w:szCs w:val="24"/>
                  <w:lang w:val="es-ES" w:eastAsia="en-US"/>
                </w:rPr>
              </m:ctrlPr>
            </m:sSubPr>
            <m:e>
              <m:r>
                <w:rPr>
                  <w:rFonts w:ascii="Cambria Math" w:eastAsia="Calibri" w:hAnsi="Cambria Math"/>
                  <w:color w:val="auto"/>
                  <w:szCs w:val="24"/>
                  <w:lang w:val="es-ES" w:eastAsia="en-US"/>
                </w:rPr>
                <m:t>M</m:t>
              </m:r>
            </m:e>
            <m:sub>
              <m:r>
                <w:rPr>
                  <w:rFonts w:ascii="Cambria Math" w:eastAsia="Calibri" w:hAnsi="Cambria Math"/>
                  <w:color w:val="auto"/>
                  <w:szCs w:val="24"/>
                  <w:lang w:val="es-ES" w:eastAsia="en-US"/>
                </w:rPr>
                <m:t>i</m:t>
              </m:r>
            </m:sub>
          </m:sSub>
          <m:r>
            <w:rPr>
              <w:rFonts w:ascii="Cambria Math" w:eastAsia="Calibri" w:hAnsi="Cambria Math"/>
              <w:color w:val="auto"/>
              <w:szCs w:val="24"/>
              <w:lang w:val="es-ES" w:eastAsia="en-US"/>
            </w:rPr>
            <m:t>=</m:t>
          </m:r>
          <m:f>
            <m:fPr>
              <m:ctrlPr>
                <w:rPr>
                  <w:rFonts w:ascii="Cambria Math" w:eastAsia="Calibri" w:hAnsi="Cambria Math"/>
                  <w:i/>
                  <w:color w:val="auto"/>
                  <w:szCs w:val="24"/>
                  <w:lang w:val="es-ES" w:eastAsia="en-US"/>
                </w:rPr>
              </m:ctrlPr>
            </m:fPr>
            <m:num>
              <m:r>
                <w:rPr>
                  <w:rFonts w:ascii="Cambria Math" w:eastAsia="Calibri" w:hAnsi="Cambria Math"/>
                  <w:color w:val="auto"/>
                  <w:szCs w:val="24"/>
                  <w:lang w:val="es-ES" w:eastAsia="en-US"/>
                </w:rPr>
                <m:t>RazónDirect</m:t>
              </m:r>
              <m:sSub>
                <m:sSubPr>
                  <m:ctrlPr>
                    <w:rPr>
                      <w:rFonts w:ascii="Cambria Math" w:eastAsia="Calibri" w:hAnsi="Cambria Math"/>
                      <w:i/>
                      <w:color w:val="auto"/>
                      <w:szCs w:val="24"/>
                      <w:lang w:val="es-ES" w:eastAsia="en-US"/>
                    </w:rPr>
                  </m:ctrlPr>
                </m:sSubPr>
                <m:e>
                  <m:r>
                    <w:rPr>
                      <w:rFonts w:ascii="Cambria Math" w:eastAsia="Calibri" w:hAnsi="Cambria Math"/>
                      <w:color w:val="auto"/>
                      <w:szCs w:val="24"/>
                      <w:lang w:val="es-ES" w:eastAsia="en-US"/>
                    </w:rPr>
                    <m:t>a</m:t>
                  </m:r>
                </m:e>
                <m:sub>
                  <m:r>
                    <w:rPr>
                      <w:rFonts w:ascii="Cambria Math" w:eastAsia="Calibri" w:hAnsi="Cambria Math"/>
                      <w:color w:val="auto"/>
                      <w:szCs w:val="24"/>
                      <w:lang w:val="es-ES" w:eastAsia="en-US"/>
                    </w:rPr>
                    <m:t>i</m:t>
                  </m:r>
                </m:sub>
              </m:sSub>
            </m:num>
            <m:den>
              <m:nary>
                <m:naryPr>
                  <m:chr m:val="∑"/>
                  <m:limLoc m:val="undOvr"/>
                  <m:ctrlPr>
                    <w:rPr>
                      <w:rFonts w:ascii="Cambria Math" w:eastAsia="Calibri" w:hAnsi="Cambria Math"/>
                      <w:i/>
                      <w:color w:val="auto"/>
                      <w:szCs w:val="24"/>
                      <w:lang w:val="es-ES" w:eastAsia="en-US"/>
                    </w:rPr>
                  </m:ctrlPr>
                </m:naryPr>
                <m:sub>
                  <m:r>
                    <w:rPr>
                      <w:rFonts w:ascii="Cambria Math" w:eastAsia="Calibri" w:hAnsi="Cambria Math"/>
                      <w:color w:val="auto"/>
                      <w:szCs w:val="24"/>
                      <w:lang w:val="es-ES" w:eastAsia="en-US"/>
                    </w:rPr>
                    <m:t>i=1</m:t>
                  </m:r>
                </m:sub>
                <m:sup>
                  <m:r>
                    <w:rPr>
                      <w:rFonts w:ascii="Cambria Math" w:eastAsia="Calibri" w:hAnsi="Cambria Math"/>
                      <w:color w:val="auto"/>
                      <w:szCs w:val="24"/>
                      <w:lang w:val="es-ES" w:eastAsia="en-US"/>
                    </w:rPr>
                    <m:t>106</m:t>
                  </m:r>
                </m:sup>
                <m:e>
                  <m:r>
                    <w:rPr>
                      <w:rFonts w:ascii="Cambria Math" w:eastAsia="Calibri" w:hAnsi="Cambria Math"/>
                      <w:color w:val="auto"/>
                      <w:szCs w:val="24"/>
                      <w:lang w:val="es-ES" w:eastAsia="en-US"/>
                    </w:rPr>
                    <m:t>RazonDirect</m:t>
                  </m:r>
                  <m:sSub>
                    <m:sSubPr>
                      <m:ctrlPr>
                        <w:rPr>
                          <w:rFonts w:ascii="Cambria Math" w:eastAsia="Calibri" w:hAnsi="Cambria Math"/>
                          <w:i/>
                          <w:color w:val="auto"/>
                          <w:szCs w:val="24"/>
                          <w:lang w:val="es-ES" w:eastAsia="en-US"/>
                        </w:rPr>
                      </m:ctrlPr>
                    </m:sSubPr>
                    <m:e>
                      <m:r>
                        <w:rPr>
                          <w:rFonts w:ascii="Cambria Math" w:eastAsia="Calibri" w:hAnsi="Cambria Math"/>
                          <w:color w:val="auto"/>
                          <w:szCs w:val="24"/>
                          <w:lang w:val="es-ES" w:eastAsia="en-US"/>
                        </w:rPr>
                        <m:t>a</m:t>
                      </m:r>
                    </m:e>
                    <m:sub>
                      <m:r>
                        <w:rPr>
                          <w:rFonts w:ascii="Cambria Math" w:eastAsia="Calibri" w:hAnsi="Cambria Math"/>
                          <w:color w:val="auto"/>
                          <w:szCs w:val="24"/>
                          <w:lang w:val="es-ES" w:eastAsia="en-US"/>
                        </w:rPr>
                        <m:t>i</m:t>
                      </m:r>
                    </m:sub>
                  </m:sSub>
                </m:e>
              </m:nary>
            </m:den>
          </m:f>
        </m:oMath>
      </m:oMathPara>
    </w:p>
    <w:p w14:paraId="0005D44D"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En donde:</w:t>
      </w:r>
    </w:p>
    <w:p w14:paraId="7AAE3B4D" w14:textId="77777777" w:rsidR="008F4B1C" w:rsidRPr="008F4B1C" w:rsidRDefault="008F4B1C" w:rsidP="008F4B1C">
      <w:pPr>
        <w:spacing w:before="100" w:beforeAutospacing="1" w:after="100" w:afterAutospacing="1" w:line="240" w:lineRule="auto"/>
        <w:ind w:left="0" w:right="0" w:firstLine="709"/>
        <w:rPr>
          <w:rFonts w:eastAsia="Calibri"/>
          <w:color w:val="auto"/>
          <w:sz w:val="14"/>
          <w:szCs w:val="14"/>
          <w:lang w:eastAsia="en-US"/>
        </w:rPr>
      </w:pPr>
      <m:oMathPara>
        <m:oMath>
          <m:r>
            <w:rPr>
              <w:rFonts w:ascii="Cambria Math" w:eastAsia="Calibri" w:hAnsi="Cambria Math"/>
              <w:color w:val="auto"/>
              <w:szCs w:val="24"/>
              <w:lang w:val="es-ES" w:eastAsia="en-US"/>
            </w:rPr>
            <m:t>RazónDirect</m:t>
          </m:r>
          <m:sSub>
            <m:sSubPr>
              <m:ctrlPr>
                <w:rPr>
                  <w:rFonts w:ascii="Cambria Math" w:eastAsia="Calibri" w:hAnsi="Cambria Math"/>
                  <w:i/>
                  <w:color w:val="auto"/>
                  <w:szCs w:val="24"/>
                  <w:lang w:val="es-ES" w:eastAsia="en-US"/>
                </w:rPr>
              </m:ctrlPr>
            </m:sSubPr>
            <m:e>
              <m:r>
                <w:rPr>
                  <w:rFonts w:ascii="Cambria Math" w:eastAsia="Calibri" w:hAnsi="Cambria Math"/>
                  <w:color w:val="auto"/>
                  <w:szCs w:val="24"/>
                  <w:lang w:val="es-ES" w:eastAsia="en-US"/>
                </w:rPr>
                <m:t>a</m:t>
              </m:r>
            </m:e>
            <m:sub>
              <m:r>
                <w:rPr>
                  <w:rFonts w:ascii="Cambria Math" w:eastAsia="Calibri" w:hAnsi="Cambria Math"/>
                  <w:color w:val="auto"/>
                  <w:szCs w:val="24"/>
                  <w:lang w:val="es-ES" w:eastAsia="en-US"/>
                </w:rPr>
                <m:t>i</m:t>
              </m:r>
            </m:sub>
          </m:sSub>
          <m:r>
            <w:rPr>
              <w:rFonts w:ascii="Cambria Math" w:eastAsia="Calibri" w:hAnsi="Cambria Math"/>
              <w:color w:val="auto"/>
              <w:szCs w:val="24"/>
              <w:lang w:val="es-ES" w:eastAsia="en-US"/>
            </w:rPr>
            <m:t>=</m:t>
          </m:r>
          <m:sSub>
            <m:sSubPr>
              <m:ctrlPr>
                <w:rPr>
                  <w:rFonts w:ascii="Cambria Math" w:eastAsia="Calibri" w:hAnsi="Cambria Math"/>
                  <w:i/>
                  <w:color w:val="auto"/>
                  <w:szCs w:val="24"/>
                  <w:lang w:val="es-ES" w:eastAsia="en-US"/>
                </w:rPr>
              </m:ctrlPr>
            </m:sSubPr>
            <m:e>
              <m:r>
                <w:rPr>
                  <w:rFonts w:ascii="Cambria Math" w:eastAsia="Calibri" w:hAnsi="Cambria Math"/>
                  <w:color w:val="auto"/>
                  <w:szCs w:val="24"/>
                  <w:lang w:val="es-ES" w:eastAsia="en-US"/>
                </w:rPr>
                <m:t xml:space="preserve">P </m:t>
              </m:r>
            </m:e>
            <m:sub>
              <m:r>
                <w:rPr>
                  <w:rFonts w:ascii="Cambria Math" w:eastAsia="Calibri" w:hAnsi="Cambria Math"/>
                  <w:color w:val="auto"/>
                  <w:szCs w:val="24"/>
                  <w:lang w:val="es-ES" w:eastAsia="en-US"/>
                </w:rPr>
                <m:t>i</m:t>
              </m:r>
            </m:sub>
          </m:sSub>
          <m:r>
            <w:rPr>
              <w:rFonts w:ascii="Cambria Math" w:eastAsia="Calibri" w:hAnsi="Cambria Math"/>
              <w:color w:val="auto"/>
              <w:szCs w:val="24"/>
              <w:lang w:val="es-ES" w:eastAsia="en-US"/>
            </w:rPr>
            <m:t>*(9.261-0.1456*</m:t>
          </m:r>
          <m:sSub>
            <m:sSubPr>
              <m:ctrlPr>
                <w:rPr>
                  <w:rFonts w:ascii="Cambria Math" w:eastAsia="Calibri" w:hAnsi="Cambria Math"/>
                  <w:i/>
                  <w:color w:val="auto"/>
                  <w:szCs w:val="24"/>
                  <w:lang w:val="es-ES" w:eastAsia="en-US"/>
                </w:rPr>
              </m:ctrlPr>
            </m:sSubPr>
            <m:e>
              <m:r>
                <w:rPr>
                  <w:rFonts w:ascii="Cambria Math" w:eastAsia="Calibri" w:hAnsi="Cambria Math"/>
                  <w:color w:val="auto"/>
                  <w:szCs w:val="24"/>
                  <w:lang w:val="es-ES" w:eastAsia="en-US"/>
                </w:rPr>
                <m:t>IMM</m:t>
              </m:r>
            </m:e>
            <m:sub>
              <m:r>
                <w:rPr>
                  <w:rFonts w:ascii="Cambria Math" w:eastAsia="Calibri" w:hAnsi="Cambria Math"/>
                  <w:color w:val="auto"/>
                  <w:szCs w:val="24"/>
                  <w:lang w:val="es-ES" w:eastAsia="en-US"/>
                </w:rPr>
                <m:t>i</m:t>
              </m:r>
            </m:sub>
          </m:sSub>
          <m:r>
            <w:rPr>
              <w:rFonts w:ascii="Cambria Math" w:eastAsia="Calibri" w:hAnsi="Cambria Math"/>
              <w:color w:val="auto"/>
              <w:szCs w:val="24"/>
              <w:lang w:val="es-ES" w:eastAsia="en-US"/>
            </w:rPr>
            <m:t>)</m:t>
          </m:r>
          <m:r>
            <m:rPr>
              <m:sty m:val="p"/>
            </m:rPr>
            <w:rPr>
              <w:rFonts w:ascii="Cambria Math" w:eastAsia="Calibri" w:hAnsi="Cambria Math"/>
              <w:color w:val="auto"/>
              <w:szCs w:val="24"/>
              <w:lang w:val="es-ES" w:eastAsia="en-US"/>
            </w:rPr>
            <w:br/>
          </m:r>
        </m:oMath>
      </m:oMathPara>
    </w:p>
    <w:p w14:paraId="0925F50F"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Donde:</w:t>
      </w:r>
    </w:p>
    <w:tbl>
      <w:tblPr>
        <w:tblStyle w:val="Tablaconcuadrcula11"/>
        <w:tblW w:w="0" w:type="auto"/>
        <w:tblInd w:w="817" w:type="dxa"/>
        <w:tblLook w:val="04A0" w:firstRow="1" w:lastRow="0" w:firstColumn="1" w:lastColumn="0" w:noHBand="0" w:noVBand="1"/>
      </w:tblPr>
      <w:tblGrid>
        <w:gridCol w:w="1390"/>
        <w:gridCol w:w="6690"/>
      </w:tblGrid>
      <w:tr w:rsidR="008F4B1C" w:rsidRPr="008F4B1C" w14:paraId="1470F5FE" w14:textId="77777777" w:rsidTr="00422E07">
        <w:tc>
          <w:tcPr>
            <w:tcW w:w="1390" w:type="dxa"/>
            <w:vAlign w:val="center"/>
          </w:tcPr>
          <w:p w14:paraId="1036FA13" w14:textId="77777777" w:rsidR="008F4B1C" w:rsidRPr="008F4B1C" w:rsidRDefault="008B15AB" w:rsidP="008F4B1C">
            <w:pPr>
              <w:spacing w:after="0" w:line="276" w:lineRule="auto"/>
              <w:ind w:left="0" w:right="0" w:firstLine="0"/>
              <w:rPr>
                <w:rFonts w:eastAsia="Calibri"/>
                <w:color w:val="auto"/>
                <w:szCs w:val="24"/>
                <w:lang w:val="es-ES"/>
              </w:rPr>
            </w:pPr>
            <m:oMathPara>
              <m:oMath>
                <m:sSub>
                  <m:sSubPr>
                    <m:ctrlPr>
                      <w:rPr>
                        <w:rFonts w:ascii="Cambria Math" w:eastAsia="Calibri" w:hAnsi="Cambria Math"/>
                        <w:color w:val="auto"/>
                        <w:szCs w:val="24"/>
                        <w:lang w:val="es-ES"/>
                      </w:rPr>
                    </m:ctrlPr>
                  </m:sSubPr>
                  <m:e>
                    <m:r>
                      <w:rPr>
                        <w:rFonts w:ascii="Cambria Math" w:eastAsia="Calibri" w:hAnsi="Cambria Math"/>
                        <w:color w:val="auto"/>
                        <w:szCs w:val="24"/>
                        <w:lang w:val="es-ES"/>
                      </w:rPr>
                      <m:t>CM</m:t>
                    </m:r>
                  </m:e>
                  <m:sub>
                    <m:r>
                      <w:rPr>
                        <w:rFonts w:ascii="Cambria Math" w:eastAsia="Calibri" w:hAnsi="Cambria Math"/>
                        <w:color w:val="auto"/>
                        <w:szCs w:val="24"/>
                        <w:lang w:val="es-ES"/>
                      </w:rPr>
                      <m:t>i</m:t>
                    </m:r>
                  </m:sub>
                </m:sSub>
              </m:oMath>
            </m:oMathPara>
          </w:p>
        </w:tc>
        <w:tc>
          <w:tcPr>
            <w:tcW w:w="6690" w:type="dxa"/>
          </w:tcPr>
          <w:p w14:paraId="2824522B" w14:textId="77777777" w:rsidR="008F4B1C" w:rsidRPr="008F4B1C" w:rsidRDefault="008F4B1C" w:rsidP="008F4B1C">
            <w:pPr>
              <w:spacing w:after="0" w:line="276" w:lineRule="auto"/>
              <w:ind w:left="0" w:right="0" w:firstLine="0"/>
              <w:rPr>
                <w:rFonts w:eastAsia="Calibri"/>
                <w:color w:val="auto"/>
                <w:szCs w:val="24"/>
                <w:lang w:val="es-ES"/>
              </w:rPr>
            </w:pPr>
            <w:r w:rsidRPr="008F4B1C">
              <w:rPr>
                <w:rFonts w:eastAsia="Calibri"/>
                <w:color w:val="auto"/>
                <w:szCs w:val="24"/>
                <w:lang w:val="es-ES"/>
              </w:rPr>
              <w:t>Componente de Marginación para el Municipio i.</w:t>
            </w:r>
          </w:p>
        </w:tc>
      </w:tr>
      <w:tr w:rsidR="008F4B1C" w:rsidRPr="008F4B1C" w14:paraId="643541BE" w14:textId="77777777" w:rsidTr="00422E07">
        <w:tc>
          <w:tcPr>
            <w:tcW w:w="1390" w:type="dxa"/>
            <w:vAlign w:val="center"/>
          </w:tcPr>
          <w:p w14:paraId="4C99D7DB" w14:textId="77777777" w:rsidR="008F4B1C" w:rsidRPr="008F4B1C" w:rsidRDefault="008B15AB" w:rsidP="008F4B1C">
            <w:pPr>
              <w:spacing w:after="0" w:line="276" w:lineRule="auto"/>
              <w:ind w:left="0" w:right="0" w:firstLine="0"/>
              <w:rPr>
                <w:rFonts w:eastAsia="Calibri"/>
                <w:color w:val="auto"/>
                <w:szCs w:val="24"/>
                <w:lang w:val="es-ES"/>
              </w:rPr>
            </w:pPr>
            <m:oMathPara>
              <m:oMath>
                <m:sSub>
                  <m:sSubPr>
                    <m:ctrlPr>
                      <w:rPr>
                        <w:rFonts w:ascii="Cambria Math" w:eastAsia="Calibri" w:hAnsi="Cambria Math"/>
                        <w:color w:val="auto"/>
                        <w:szCs w:val="24"/>
                        <w:lang w:val="es-ES"/>
                      </w:rPr>
                    </m:ctrlPr>
                  </m:sSubPr>
                  <m:e>
                    <m:r>
                      <w:rPr>
                        <w:rFonts w:ascii="Cambria Math" w:eastAsia="Calibri" w:hAnsi="Cambria Math"/>
                        <w:color w:val="auto"/>
                        <w:szCs w:val="24"/>
                        <w:lang w:val="es-ES"/>
                      </w:rPr>
                      <m:t>P</m:t>
                    </m:r>
                  </m:e>
                  <m:sub>
                    <m:r>
                      <w:rPr>
                        <w:rFonts w:ascii="Cambria Math" w:eastAsia="Calibri" w:hAnsi="Cambria Math"/>
                        <w:color w:val="auto"/>
                        <w:szCs w:val="24"/>
                        <w:lang w:val="es-ES"/>
                      </w:rPr>
                      <m:t>i</m:t>
                    </m:r>
                  </m:sub>
                </m:sSub>
              </m:oMath>
            </m:oMathPara>
          </w:p>
        </w:tc>
        <w:tc>
          <w:tcPr>
            <w:tcW w:w="6690" w:type="dxa"/>
          </w:tcPr>
          <w:p w14:paraId="44FACA72" w14:textId="77777777" w:rsidR="008F4B1C" w:rsidRPr="008F4B1C" w:rsidRDefault="008F4B1C" w:rsidP="008F4B1C">
            <w:pPr>
              <w:spacing w:after="0" w:line="276" w:lineRule="auto"/>
              <w:ind w:left="0" w:right="0" w:firstLine="0"/>
              <w:rPr>
                <w:rFonts w:eastAsia="Calibri"/>
                <w:color w:val="auto"/>
                <w:szCs w:val="24"/>
                <w:lang w:val="es-ES"/>
              </w:rPr>
            </w:pPr>
            <w:r w:rsidRPr="008F4B1C">
              <w:rPr>
                <w:rFonts w:eastAsia="Calibri"/>
                <w:color w:val="auto"/>
                <w:szCs w:val="24"/>
                <w:lang w:val="es-ES"/>
              </w:rPr>
              <w:t>Población del municipio i de acuerdo con la última información publicada por el Instituto Nacional de Estadística, Geografía e Informática.</w:t>
            </w:r>
          </w:p>
        </w:tc>
      </w:tr>
      <w:tr w:rsidR="008F4B1C" w:rsidRPr="008F4B1C" w14:paraId="440A679F" w14:textId="77777777" w:rsidTr="00422E07">
        <w:tc>
          <w:tcPr>
            <w:tcW w:w="1390" w:type="dxa"/>
            <w:vAlign w:val="center"/>
          </w:tcPr>
          <w:p w14:paraId="681EA661" w14:textId="77777777" w:rsidR="008F4B1C" w:rsidRPr="008F4B1C" w:rsidRDefault="008B15AB" w:rsidP="008F4B1C">
            <w:pPr>
              <w:spacing w:after="0" w:line="276" w:lineRule="auto"/>
              <w:ind w:left="0" w:right="0" w:firstLine="0"/>
              <w:rPr>
                <w:rFonts w:eastAsia="Calibri"/>
                <w:color w:val="auto"/>
                <w:szCs w:val="24"/>
                <w:lang w:val="es-ES"/>
              </w:rPr>
            </w:pPr>
            <m:oMathPara>
              <m:oMath>
                <m:sSub>
                  <m:sSubPr>
                    <m:ctrlPr>
                      <w:rPr>
                        <w:rFonts w:ascii="Cambria Math" w:eastAsia="Calibri" w:hAnsi="Cambria Math"/>
                        <w:color w:val="auto"/>
                        <w:szCs w:val="24"/>
                        <w:lang w:val="es-ES"/>
                      </w:rPr>
                    </m:ctrlPr>
                  </m:sSubPr>
                  <m:e>
                    <m:r>
                      <w:rPr>
                        <w:rFonts w:ascii="Cambria Math" w:eastAsia="Calibri" w:hAnsi="Cambria Math"/>
                        <w:color w:val="auto"/>
                        <w:szCs w:val="24"/>
                        <w:lang w:val="es-ES"/>
                      </w:rPr>
                      <m:t>IMM</m:t>
                    </m:r>
                  </m:e>
                  <m:sub>
                    <m:r>
                      <w:rPr>
                        <w:rFonts w:ascii="Cambria Math" w:eastAsia="Calibri" w:hAnsi="Cambria Math"/>
                        <w:color w:val="auto"/>
                        <w:szCs w:val="24"/>
                        <w:lang w:val="es-ES"/>
                      </w:rPr>
                      <m:t>i</m:t>
                    </m:r>
                  </m:sub>
                </m:sSub>
              </m:oMath>
            </m:oMathPara>
          </w:p>
        </w:tc>
        <w:tc>
          <w:tcPr>
            <w:tcW w:w="6690" w:type="dxa"/>
          </w:tcPr>
          <w:p w14:paraId="7AE1D08B" w14:textId="77777777" w:rsidR="008F4B1C" w:rsidRPr="008F4B1C" w:rsidRDefault="008F4B1C" w:rsidP="008F4B1C">
            <w:pPr>
              <w:spacing w:after="0" w:line="276" w:lineRule="auto"/>
              <w:ind w:left="0" w:right="0" w:firstLine="0"/>
              <w:rPr>
                <w:rFonts w:eastAsia="Calibri"/>
                <w:color w:val="auto"/>
                <w:szCs w:val="24"/>
                <w:lang w:val="es-ES"/>
              </w:rPr>
            </w:pPr>
            <w:r w:rsidRPr="008F4B1C">
              <w:rPr>
                <w:rFonts w:eastAsia="Calibri"/>
                <w:color w:val="auto"/>
                <w:szCs w:val="24"/>
                <w:lang w:val="es-ES"/>
              </w:rPr>
              <w:t>Índice de Marginación para el Municipio i de acuerdo con la última información publicada por el Consejo Nacional de Población.</w:t>
            </w:r>
          </w:p>
        </w:tc>
      </w:tr>
    </w:tbl>
    <w:p w14:paraId="5E3613CE" w14:textId="77777777" w:rsid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VI.- …</w:t>
      </w:r>
    </w:p>
    <w:p w14:paraId="40EBE875" w14:textId="77777777" w:rsidR="00194D55" w:rsidRPr="008F4B1C" w:rsidRDefault="00194D55" w:rsidP="008F4B1C">
      <w:pPr>
        <w:spacing w:before="100" w:beforeAutospacing="1" w:after="100" w:afterAutospacing="1" w:line="240" w:lineRule="auto"/>
        <w:ind w:left="0" w:right="0" w:firstLine="709"/>
        <w:rPr>
          <w:rFonts w:eastAsia="Calibri"/>
          <w:color w:val="auto"/>
          <w:szCs w:val="24"/>
          <w:lang w:eastAsia="en-US"/>
        </w:rPr>
      </w:pPr>
    </w:p>
    <w:p w14:paraId="5BA2A5E5" w14:textId="77777777" w:rsidR="008F4B1C" w:rsidRPr="008F4B1C" w:rsidRDefault="008F4B1C" w:rsidP="008F4B1C">
      <w:pPr>
        <w:spacing w:before="100" w:beforeAutospacing="1" w:after="100" w:afterAutospacing="1" w:line="240" w:lineRule="auto"/>
        <w:ind w:left="0" w:right="0" w:firstLine="0"/>
        <w:rPr>
          <w:rFonts w:eastAsia="Calibri"/>
          <w:b/>
          <w:color w:val="auto"/>
          <w:szCs w:val="24"/>
          <w:lang w:eastAsia="en-US"/>
        </w:rPr>
      </w:pPr>
      <w:r w:rsidRPr="008F4B1C">
        <w:rPr>
          <w:rFonts w:eastAsia="Calibri"/>
          <w:b/>
          <w:color w:val="auto"/>
          <w:szCs w:val="24"/>
          <w:lang w:eastAsia="en-US"/>
        </w:rPr>
        <w:t xml:space="preserve">Artículo 6 bis.- </w:t>
      </w:r>
      <w:r w:rsidRPr="008F4B1C">
        <w:rPr>
          <w:rFonts w:eastAsia="Calibri"/>
          <w:color w:val="auto"/>
          <w:szCs w:val="24"/>
          <w:lang w:eastAsia="en-US"/>
        </w:rPr>
        <w:t>…</w:t>
      </w:r>
    </w:p>
    <w:p w14:paraId="09C316CA"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 y II. …</w:t>
      </w:r>
    </w:p>
    <w:p w14:paraId="1C4DF9A2" w14:textId="77777777" w:rsidR="008F4B1C" w:rsidRPr="008F4B1C" w:rsidRDefault="008F4B1C" w:rsidP="008F4B1C">
      <w:pPr>
        <w:spacing w:before="100" w:beforeAutospacing="1" w:after="100" w:afterAutospacing="1" w:line="240" w:lineRule="auto"/>
        <w:ind w:left="0" w:right="0" w:firstLine="709"/>
        <w:rPr>
          <w:rFonts w:eastAsia="Calibri"/>
          <w:color w:val="auto"/>
          <w:szCs w:val="24"/>
          <w:lang w:eastAsia="en-US"/>
        </w:rPr>
      </w:pPr>
      <w:r w:rsidRPr="008F4B1C">
        <w:rPr>
          <w:rFonts w:eastAsia="Calibri"/>
          <w:color w:val="auto"/>
          <w:szCs w:val="24"/>
          <w:lang w:eastAsia="en-US"/>
        </w:rPr>
        <w:t>III. …</w:t>
      </w:r>
    </w:p>
    <w:p w14:paraId="766E82CE" w14:textId="66CCE76C"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a) …</w:t>
      </w:r>
    </w:p>
    <w:p w14:paraId="089D1991"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r w:rsidRPr="008F4B1C">
        <w:rPr>
          <w:rFonts w:eastAsia="Calibri"/>
          <w:color w:val="auto"/>
          <w:szCs w:val="24"/>
          <w:lang w:eastAsia="en-US"/>
        </w:rPr>
        <w:t>b) El 30% se distribuirá en la misma proporción que el Componente de Marginación de cada Municipio.</w:t>
      </w:r>
    </w:p>
    <w:p w14:paraId="0DEA858D" w14:textId="77777777" w:rsidR="008F4B1C" w:rsidRPr="008F4B1C" w:rsidRDefault="008F4B1C" w:rsidP="008F4B1C">
      <w:pPr>
        <w:spacing w:before="100" w:beforeAutospacing="1" w:after="100" w:afterAutospacing="1" w:line="240" w:lineRule="auto"/>
        <w:ind w:left="709" w:right="0" w:firstLine="709"/>
        <w:rPr>
          <w:rFonts w:eastAsia="Calibri"/>
          <w:color w:val="auto"/>
          <w:szCs w:val="24"/>
          <w:lang w:eastAsia="en-US"/>
        </w:rPr>
      </w:pPr>
    </w:p>
    <w:p w14:paraId="79123CB3" w14:textId="3C80480B" w:rsidR="008F4B1C" w:rsidRPr="008F4B1C" w:rsidRDefault="008F4B1C" w:rsidP="008F4B1C">
      <w:pPr>
        <w:spacing w:before="100" w:beforeAutospacing="1" w:after="100" w:afterAutospacing="1" w:line="240" w:lineRule="auto"/>
        <w:ind w:left="0" w:right="0" w:firstLine="0"/>
        <w:rPr>
          <w:rFonts w:eastAsiaTheme="minorHAnsi"/>
          <w:b/>
          <w:color w:val="auto"/>
          <w:szCs w:val="24"/>
          <w:lang w:eastAsia="en-US"/>
        </w:rPr>
      </w:pPr>
      <w:r w:rsidRPr="008F4B1C">
        <w:rPr>
          <w:rFonts w:eastAsiaTheme="minorHAnsi"/>
          <w:b/>
          <w:color w:val="auto"/>
          <w:szCs w:val="24"/>
          <w:lang w:eastAsia="en-US"/>
        </w:rPr>
        <w:t xml:space="preserve">Artículo Tercero. </w:t>
      </w:r>
      <w:r w:rsidRPr="008F4B1C">
        <w:rPr>
          <w:rFonts w:eastAsiaTheme="minorHAnsi"/>
          <w:color w:val="auto"/>
          <w:szCs w:val="24"/>
          <w:lang w:eastAsia="en-US"/>
        </w:rPr>
        <w:t>Se reforman el párrafo segundo del artículo 79 y el párrafo primero del artículo 93 de la Ley del Presupuesto y Contabilidad Gubernamental del Estado de Yucatán, para quedar como sigue:</w:t>
      </w:r>
    </w:p>
    <w:p w14:paraId="4BAF8DFF" w14:textId="77777777" w:rsidR="008F4B1C" w:rsidRPr="008F4B1C" w:rsidRDefault="008F4B1C" w:rsidP="008F4B1C">
      <w:pPr>
        <w:spacing w:before="100" w:beforeAutospacing="1" w:after="100" w:afterAutospacing="1" w:line="240" w:lineRule="auto"/>
        <w:ind w:left="0" w:right="0" w:firstLine="0"/>
        <w:rPr>
          <w:rFonts w:eastAsiaTheme="minorHAnsi"/>
          <w:color w:val="auto"/>
          <w:szCs w:val="24"/>
          <w:lang w:eastAsia="en-US"/>
        </w:rPr>
      </w:pPr>
      <w:r w:rsidRPr="008F4B1C">
        <w:rPr>
          <w:rFonts w:eastAsiaTheme="minorHAnsi"/>
          <w:b/>
          <w:color w:val="auto"/>
          <w:szCs w:val="24"/>
          <w:lang w:eastAsia="en-US"/>
        </w:rPr>
        <w:t xml:space="preserve">Artículo 79.- </w:t>
      </w:r>
      <w:r w:rsidRPr="008F4B1C">
        <w:rPr>
          <w:rFonts w:eastAsiaTheme="minorHAnsi"/>
          <w:color w:val="auto"/>
          <w:szCs w:val="24"/>
          <w:lang w:eastAsia="en-US"/>
        </w:rPr>
        <w:t>…</w:t>
      </w:r>
    </w:p>
    <w:p w14:paraId="28E749ED" w14:textId="77777777" w:rsidR="008F4B1C" w:rsidRPr="008F4B1C" w:rsidRDefault="008F4B1C" w:rsidP="008F4B1C">
      <w:pPr>
        <w:spacing w:before="100" w:beforeAutospacing="1" w:after="100" w:afterAutospacing="1" w:line="240" w:lineRule="auto"/>
        <w:ind w:left="0" w:right="0" w:firstLine="708"/>
        <w:rPr>
          <w:rFonts w:eastAsiaTheme="minorHAnsi"/>
          <w:color w:val="auto"/>
          <w:szCs w:val="24"/>
          <w:lang w:eastAsia="en-US"/>
        </w:rPr>
      </w:pPr>
      <w:r w:rsidRPr="008F4B1C">
        <w:rPr>
          <w:rFonts w:eastAsiaTheme="minorHAnsi"/>
          <w:color w:val="auto"/>
          <w:szCs w:val="24"/>
          <w:lang w:eastAsia="en-US"/>
        </w:rPr>
        <w:t>Las Dependencias y Entidades tendrán como fecha límite para establecer compromisos con cargo al presupuesto de egresos a más tardar el 10 de diciembre, tratándose de obra pública por contrato, y el 20 de diciembre, para el resto de los conceptos del gasto.</w:t>
      </w:r>
    </w:p>
    <w:p w14:paraId="4C0BDE37" w14:textId="77777777" w:rsidR="008F4B1C" w:rsidRPr="008F4B1C" w:rsidRDefault="008F4B1C" w:rsidP="008F4B1C">
      <w:pPr>
        <w:spacing w:before="120" w:after="120" w:line="240" w:lineRule="auto"/>
        <w:ind w:left="0" w:right="0" w:firstLine="0"/>
        <w:rPr>
          <w:rFonts w:eastAsiaTheme="minorHAnsi"/>
          <w:color w:val="auto"/>
          <w:szCs w:val="24"/>
          <w:lang w:eastAsia="en-US"/>
        </w:rPr>
      </w:pPr>
      <w:r w:rsidRPr="008F4B1C">
        <w:rPr>
          <w:rFonts w:eastAsiaTheme="minorHAnsi"/>
          <w:color w:val="auto"/>
          <w:szCs w:val="24"/>
          <w:lang w:eastAsia="en-US"/>
        </w:rPr>
        <w:t>…</w:t>
      </w:r>
    </w:p>
    <w:p w14:paraId="7E58CB01" w14:textId="77777777" w:rsidR="008F4B1C" w:rsidRPr="008F4B1C" w:rsidRDefault="008F4B1C" w:rsidP="008F4B1C">
      <w:pPr>
        <w:spacing w:before="120" w:after="120" w:line="240" w:lineRule="auto"/>
        <w:ind w:left="0" w:right="0" w:firstLine="0"/>
        <w:rPr>
          <w:rFonts w:eastAsiaTheme="minorHAnsi"/>
          <w:color w:val="auto"/>
          <w:szCs w:val="24"/>
          <w:lang w:eastAsia="en-US"/>
        </w:rPr>
      </w:pPr>
      <w:r w:rsidRPr="008F4B1C">
        <w:rPr>
          <w:rFonts w:eastAsiaTheme="minorHAnsi"/>
          <w:color w:val="auto"/>
          <w:szCs w:val="24"/>
          <w:lang w:eastAsia="en-US"/>
        </w:rPr>
        <w:t>…</w:t>
      </w:r>
    </w:p>
    <w:p w14:paraId="2F70DC33" w14:textId="77777777" w:rsidR="008F4B1C" w:rsidRPr="008F4B1C" w:rsidRDefault="008F4B1C" w:rsidP="008F4B1C">
      <w:pPr>
        <w:spacing w:before="120" w:after="120" w:line="240" w:lineRule="auto"/>
        <w:ind w:left="0" w:right="0" w:firstLine="0"/>
        <w:rPr>
          <w:rFonts w:eastAsiaTheme="minorHAnsi"/>
          <w:color w:val="auto"/>
          <w:szCs w:val="24"/>
          <w:lang w:eastAsia="en-US"/>
        </w:rPr>
      </w:pPr>
      <w:r w:rsidRPr="008F4B1C">
        <w:rPr>
          <w:rFonts w:eastAsiaTheme="minorHAnsi"/>
          <w:color w:val="auto"/>
          <w:szCs w:val="24"/>
          <w:lang w:eastAsia="en-US"/>
        </w:rPr>
        <w:t>…</w:t>
      </w:r>
    </w:p>
    <w:p w14:paraId="17BC6DAA" w14:textId="77777777" w:rsidR="008F4B1C" w:rsidRPr="008F4B1C" w:rsidRDefault="008F4B1C" w:rsidP="008F4B1C">
      <w:pPr>
        <w:spacing w:before="100" w:beforeAutospacing="1" w:after="100" w:afterAutospacing="1" w:line="240" w:lineRule="auto"/>
        <w:ind w:left="0" w:right="0" w:firstLine="0"/>
        <w:rPr>
          <w:rFonts w:eastAsiaTheme="minorHAnsi"/>
          <w:color w:val="auto"/>
          <w:szCs w:val="24"/>
          <w:lang w:eastAsia="en-US"/>
        </w:rPr>
      </w:pPr>
      <w:r w:rsidRPr="008F4B1C">
        <w:rPr>
          <w:rFonts w:eastAsiaTheme="minorHAnsi"/>
          <w:b/>
          <w:color w:val="auto"/>
          <w:szCs w:val="24"/>
          <w:lang w:eastAsia="en-US"/>
        </w:rPr>
        <w:t>Artículo 93.-</w:t>
      </w:r>
      <w:r w:rsidRPr="008F4B1C">
        <w:rPr>
          <w:rFonts w:eastAsiaTheme="minorHAnsi"/>
          <w:color w:val="auto"/>
          <w:szCs w:val="24"/>
          <w:lang w:eastAsia="en-US"/>
        </w:rPr>
        <w:t xml:space="preserve"> Los recursos remanentes de los ejercicios anteriores serán considerados ingresos y deberán destinarse a mejorar preferentemente el balance fiscal, a la inversión productiva y al mejoramiento de los servicios públicos que preste el estado, excepto los remanentes federales que tengan un fin específico y los recursos de crédito, los cuales se sujetarán a las disposiciones federales aplicables. </w:t>
      </w:r>
    </w:p>
    <w:p w14:paraId="32C7E422" w14:textId="77777777" w:rsidR="008F4B1C" w:rsidRPr="008F4B1C" w:rsidRDefault="008F4B1C" w:rsidP="008F4B1C">
      <w:pPr>
        <w:spacing w:before="100" w:beforeAutospacing="1" w:after="100" w:afterAutospacing="1" w:line="240" w:lineRule="auto"/>
        <w:ind w:left="0" w:right="0" w:firstLine="0"/>
        <w:rPr>
          <w:rFonts w:eastAsiaTheme="minorHAnsi"/>
          <w:b/>
          <w:color w:val="auto"/>
          <w:szCs w:val="24"/>
          <w:lang w:eastAsia="en-US"/>
        </w:rPr>
      </w:pPr>
      <w:r w:rsidRPr="008F4B1C">
        <w:rPr>
          <w:rFonts w:eastAsiaTheme="minorHAnsi"/>
          <w:color w:val="auto"/>
          <w:szCs w:val="24"/>
          <w:lang w:eastAsia="en-US"/>
        </w:rPr>
        <w:t>…</w:t>
      </w:r>
    </w:p>
    <w:p w14:paraId="3987A9DE" w14:textId="77777777" w:rsidR="008F4B1C" w:rsidRPr="008F4B1C" w:rsidRDefault="008F4B1C" w:rsidP="008F4B1C">
      <w:pPr>
        <w:spacing w:before="100" w:beforeAutospacing="1" w:after="100" w:afterAutospacing="1" w:line="240" w:lineRule="auto"/>
        <w:ind w:left="0" w:right="0" w:firstLine="0"/>
        <w:jc w:val="center"/>
        <w:rPr>
          <w:rFonts w:eastAsiaTheme="minorHAnsi"/>
          <w:b/>
          <w:color w:val="auto"/>
          <w:szCs w:val="24"/>
          <w:lang w:eastAsia="en-US"/>
        </w:rPr>
      </w:pPr>
      <w:r w:rsidRPr="008F4B1C">
        <w:rPr>
          <w:rFonts w:eastAsiaTheme="minorHAnsi"/>
          <w:b/>
          <w:color w:val="auto"/>
          <w:szCs w:val="24"/>
          <w:lang w:eastAsia="en-US"/>
        </w:rPr>
        <w:t>Artículo transitorio</w:t>
      </w:r>
    </w:p>
    <w:p w14:paraId="248C885C" w14:textId="77777777" w:rsidR="008F4B1C" w:rsidRPr="008F4B1C" w:rsidRDefault="008F4B1C" w:rsidP="008F4B1C">
      <w:pPr>
        <w:spacing w:before="100" w:beforeAutospacing="1" w:after="100" w:afterAutospacing="1" w:line="240" w:lineRule="auto"/>
        <w:ind w:left="0" w:right="0" w:firstLine="0"/>
        <w:rPr>
          <w:rFonts w:eastAsiaTheme="minorHAnsi"/>
          <w:b/>
          <w:color w:val="auto"/>
          <w:szCs w:val="24"/>
          <w:lang w:eastAsia="en-US"/>
        </w:rPr>
      </w:pPr>
      <w:r w:rsidRPr="008F4B1C">
        <w:rPr>
          <w:rFonts w:eastAsiaTheme="minorHAnsi"/>
          <w:b/>
          <w:color w:val="auto"/>
          <w:szCs w:val="24"/>
          <w:lang w:eastAsia="en-US"/>
        </w:rPr>
        <w:t>Único. Entrada en vigor</w:t>
      </w:r>
    </w:p>
    <w:p w14:paraId="3E57FBAD" w14:textId="77777777" w:rsidR="008F4B1C" w:rsidRPr="008F4B1C" w:rsidRDefault="008F4B1C" w:rsidP="008F4B1C">
      <w:pPr>
        <w:spacing w:before="100" w:beforeAutospacing="1" w:after="100" w:afterAutospacing="1" w:line="240" w:lineRule="auto"/>
        <w:ind w:left="0" w:right="0" w:firstLine="0"/>
        <w:rPr>
          <w:rFonts w:eastAsiaTheme="minorHAnsi"/>
          <w:color w:val="auto"/>
          <w:szCs w:val="24"/>
          <w:lang w:eastAsia="en-US"/>
        </w:rPr>
      </w:pPr>
      <w:r w:rsidRPr="008F4B1C">
        <w:rPr>
          <w:rFonts w:eastAsiaTheme="minorHAnsi"/>
          <w:color w:val="auto"/>
          <w:szCs w:val="24"/>
          <w:lang w:eastAsia="en-US"/>
        </w:rPr>
        <w:t xml:space="preserve">Este decreto entrará en vigor el 1 de enero de 2022, previa publicación en el Diario Oficial del Gobierno del Estado de Yucatán. </w:t>
      </w:r>
    </w:p>
    <w:p w14:paraId="1F5E04F4" w14:textId="77777777" w:rsidR="00D23A93" w:rsidRPr="00D479C3" w:rsidRDefault="00D23A93" w:rsidP="00D23A93">
      <w:pPr>
        <w:widowControl w:val="0"/>
        <w:spacing w:after="0" w:line="240" w:lineRule="auto"/>
        <w:ind w:left="0" w:right="0" w:firstLine="708"/>
        <w:rPr>
          <w:b/>
        </w:rPr>
      </w:pPr>
      <w:r w:rsidRPr="00D479C3">
        <w:rPr>
          <w:b/>
          <w:bCs/>
        </w:rPr>
        <w:t xml:space="preserve">DADO EN LA SEDE DEL RECINTO DEL PODER LEGISLATIVO EN LA CIUDAD DE MÉRIDA, YUCATÁN, ESTADOS UNIDOS MEXICANOS A LOS </w:t>
      </w:r>
      <w:r>
        <w:rPr>
          <w:b/>
          <w:bCs/>
        </w:rPr>
        <w:t xml:space="preserve">OCHO </w:t>
      </w:r>
      <w:r w:rsidRPr="00D479C3">
        <w:rPr>
          <w:b/>
          <w:bCs/>
        </w:rPr>
        <w:t xml:space="preserve">DÍAS DEL MES DE </w:t>
      </w:r>
      <w:r>
        <w:rPr>
          <w:b/>
          <w:bCs/>
        </w:rPr>
        <w:t xml:space="preserve">DICIEMBRE </w:t>
      </w:r>
      <w:r w:rsidRPr="00D479C3">
        <w:rPr>
          <w:b/>
          <w:bCs/>
        </w:rPr>
        <w:t>DEL AÑO DOS MIL VEINTIUNO.</w:t>
      </w:r>
    </w:p>
    <w:p w14:paraId="74F0B6D7" w14:textId="77777777" w:rsidR="00D23A93" w:rsidRPr="00D479C3" w:rsidRDefault="00D23A93" w:rsidP="00D23A93">
      <w:pPr>
        <w:widowControl w:val="0"/>
        <w:spacing w:after="0" w:line="240" w:lineRule="auto"/>
        <w:ind w:left="0" w:right="0"/>
        <w:jc w:val="center"/>
        <w:rPr>
          <w:b/>
          <w:caps/>
        </w:rPr>
      </w:pPr>
    </w:p>
    <w:p w14:paraId="51A34AC5" w14:textId="77777777" w:rsidR="00D23A93" w:rsidRPr="00D479C3" w:rsidRDefault="00D23A93" w:rsidP="00D23A93">
      <w:pPr>
        <w:widowControl w:val="0"/>
        <w:spacing w:after="0" w:line="240" w:lineRule="auto"/>
        <w:ind w:left="0" w:right="0"/>
        <w:jc w:val="center"/>
        <w:rPr>
          <w:b/>
          <w:caps/>
        </w:rPr>
      </w:pPr>
    </w:p>
    <w:p w14:paraId="00783A5E" w14:textId="77777777" w:rsidR="00D23A93" w:rsidRPr="00D479C3" w:rsidRDefault="00D23A93" w:rsidP="00D23A93">
      <w:pPr>
        <w:widowControl w:val="0"/>
        <w:spacing w:after="0" w:line="240" w:lineRule="auto"/>
        <w:ind w:left="0" w:right="0" w:hanging="11"/>
        <w:jc w:val="center"/>
        <w:rPr>
          <w:b/>
        </w:rPr>
      </w:pPr>
      <w:r w:rsidRPr="00D479C3">
        <w:rPr>
          <w:b/>
        </w:rPr>
        <w:t>PRESIDENTA</w:t>
      </w:r>
    </w:p>
    <w:p w14:paraId="1F63D09D" w14:textId="77777777" w:rsidR="00D23A93" w:rsidRPr="00D479C3" w:rsidRDefault="00D23A93" w:rsidP="00D23A93">
      <w:pPr>
        <w:widowControl w:val="0"/>
        <w:spacing w:after="0" w:line="240" w:lineRule="auto"/>
        <w:ind w:left="0" w:right="0" w:hanging="11"/>
        <w:jc w:val="center"/>
        <w:rPr>
          <w:b/>
        </w:rPr>
      </w:pPr>
    </w:p>
    <w:p w14:paraId="5346CDCF" w14:textId="77777777" w:rsidR="00D23A93" w:rsidRPr="00D479C3" w:rsidRDefault="00D23A93" w:rsidP="00D23A93">
      <w:pPr>
        <w:widowControl w:val="0"/>
        <w:spacing w:after="0" w:line="240" w:lineRule="auto"/>
        <w:ind w:left="0" w:right="0" w:hanging="11"/>
        <w:jc w:val="center"/>
        <w:rPr>
          <w:b/>
        </w:rPr>
      </w:pPr>
    </w:p>
    <w:p w14:paraId="5E525B12" w14:textId="77777777" w:rsidR="00D23A93" w:rsidRPr="00D479C3" w:rsidRDefault="00D23A93" w:rsidP="00D23A93">
      <w:pPr>
        <w:widowControl w:val="0"/>
        <w:spacing w:after="0" w:line="240" w:lineRule="auto"/>
        <w:ind w:left="0" w:right="0" w:hanging="11"/>
        <w:jc w:val="center"/>
        <w:rPr>
          <w:b/>
        </w:rPr>
      </w:pPr>
    </w:p>
    <w:p w14:paraId="187CB408" w14:textId="77777777" w:rsidR="00D23A93" w:rsidRPr="00D479C3" w:rsidRDefault="00D23A93" w:rsidP="00D23A93">
      <w:pPr>
        <w:widowControl w:val="0"/>
        <w:spacing w:after="0" w:line="240" w:lineRule="auto"/>
        <w:ind w:left="0" w:right="0" w:hanging="11"/>
        <w:jc w:val="center"/>
        <w:rPr>
          <w:b/>
        </w:rPr>
      </w:pPr>
      <w:r w:rsidRPr="00D479C3">
        <w:rPr>
          <w:b/>
        </w:rPr>
        <w:t>DIP. INGRID DEL PILAR SANTOS DÍAZ.</w:t>
      </w:r>
    </w:p>
    <w:p w14:paraId="03135F5E" w14:textId="77777777" w:rsidR="00D23A93" w:rsidRPr="00D479C3" w:rsidRDefault="00D23A93" w:rsidP="00D23A93">
      <w:pPr>
        <w:widowControl w:val="0"/>
        <w:spacing w:after="0" w:line="240" w:lineRule="auto"/>
        <w:ind w:left="0" w:right="0" w:hanging="11"/>
        <w:jc w:val="center"/>
        <w:rPr>
          <w:b/>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D23A93" w:rsidRPr="00D479C3" w14:paraId="5C506F37" w14:textId="77777777" w:rsidTr="00131F4B">
        <w:trPr>
          <w:trHeight w:val="1215"/>
          <w:jc w:val="center"/>
        </w:trPr>
        <w:tc>
          <w:tcPr>
            <w:tcW w:w="5032" w:type="dxa"/>
          </w:tcPr>
          <w:p w14:paraId="193E3F11" w14:textId="77777777" w:rsidR="00D23A93" w:rsidRPr="00D479C3" w:rsidRDefault="00D23A93" w:rsidP="00D23A93">
            <w:pPr>
              <w:widowControl w:val="0"/>
              <w:spacing w:after="0" w:line="240" w:lineRule="auto"/>
              <w:ind w:left="0" w:right="0" w:hanging="11"/>
              <w:jc w:val="center"/>
              <w:rPr>
                <w:b/>
              </w:rPr>
            </w:pPr>
            <w:r w:rsidRPr="00D479C3">
              <w:rPr>
                <w:b/>
              </w:rPr>
              <w:t>SECRETARIO</w:t>
            </w:r>
          </w:p>
          <w:p w14:paraId="04061F36" w14:textId="77777777" w:rsidR="00D23A93" w:rsidRPr="00D479C3" w:rsidRDefault="00D23A93" w:rsidP="00D23A93">
            <w:pPr>
              <w:widowControl w:val="0"/>
              <w:spacing w:after="0" w:line="240" w:lineRule="auto"/>
              <w:ind w:left="0" w:right="0" w:hanging="11"/>
              <w:jc w:val="center"/>
              <w:rPr>
                <w:b/>
              </w:rPr>
            </w:pPr>
          </w:p>
          <w:p w14:paraId="79E80F4A" w14:textId="77777777" w:rsidR="00D23A93" w:rsidRPr="00D479C3" w:rsidRDefault="00D23A93" w:rsidP="00D23A93">
            <w:pPr>
              <w:widowControl w:val="0"/>
              <w:spacing w:after="0" w:line="240" w:lineRule="auto"/>
              <w:ind w:left="0" w:right="0" w:hanging="11"/>
              <w:jc w:val="center"/>
              <w:rPr>
                <w:b/>
              </w:rPr>
            </w:pPr>
          </w:p>
          <w:p w14:paraId="569F7E52" w14:textId="77777777" w:rsidR="00D23A93" w:rsidRPr="00D479C3" w:rsidRDefault="00D23A93" w:rsidP="00D23A93">
            <w:pPr>
              <w:widowControl w:val="0"/>
              <w:spacing w:after="0" w:line="240" w:lineRule="auto"/>
              <w:ind w:left="0" w:right="0" w:hanging="11"/>
              <w:jc w:val="center"/>
              <w:rPr>
                <w:b/>
              </w:rPr>
            </w:pPr>
          </w:p>
          <w:p w14:paraId="3FBDF41E" w14:textId="77777777" w:rsidR="00D23A93" w:rsidRPr="00D479C3" w:rsidRDefault="00D23A93" w:rsidP="00D23A93">
            <w:pPr>
              <w:widowControl w:val="0"/>
              <w:spacing w:after="0" w:line="240" w:lineRule="auto"/>
              <w:ind w:left="0" w:right="0" w:hanging="11"/>
              <w:jc w:val="center"/>
              <w:rPr>
                <w:b/>
                <w:bCs/>
              </w:rPr>
            </w:pPr>
            <w:r w:rsidRPr="00D479C3">
              <w:rPr>
                <w:b/>
              </w:rPr>
              <w:t xml:space="preserve">DIP. </w:t>
            </w:r>
            <w:r w:rsidRPr="00D479C3">
              <w:rPr>
                <w:b/>
                <w:bCs/>
              </w:rPr>
              <w:t xml:space="preserve">RAÚL ANTONIO ROMERO </w:t>
            </w:r>
          </w:p>
          <w:p w14:paraId="754B050D" w14:textId="77777777" w:rsidR="00D23A93" w:rsidRPr="00D479C3" w:rsidRDefault="00D23A93" w:rsidP="00D23A93">
            <w:pPr>
              <w:widowControl w:val="0"/>
              <w:spacing w:after="0" w:line="240" w:lineRule="auto"/>
              <w:ind w:left="0" w:right="0" w:hanging="11"/>
              <w:jc w:val="center"/>
              <w:rPr>
                <w:b/>
              </w:rPr>
            </w:pPr>
            <w:r w:rsidRPr="00D479C3">
              <w:rPr>
                <w:b/>
                <w:bCs/>
              </w:rPr>
              <w:t>CHEL</w:t>
            </w:r>
            <w:r w:rsidRPr="00D479C3">
              <w:rPr>
                <w:b/>
              </w:rPr>
              <w:t>.</w:t>
            </w:r>
          </w:p>
        </w:tc>
        <w:tc>
          <w:tcPr>
            <w:tcW w:w="4831" w:type="dxa"/>
          </w:tcPr>
          <w:p w14:paraId="5A0DC1FA" w14:textId="77777777" w:rsidR="00D23A93" w:rsidRPr="00D479C3" w:rsidRDefault="00D23A93" w:rsidP="00D23A93">
            <w:pPr>
              <w:widowControl w:val="0"/>
              <w:spacing w:after="0" w:line="240" w:lineRule="auto"/>
              <w:ind w:left="0" w:right="0" w:hanging="11"/>
              <w:jc w:val="center"/>
              <w:rPr>
                <w:b/>
              </w:rPr>
            </w:pPr>
            <w:r w:rsidRPr="00D479C3">
              <w:rPr>
                <w:b/>
              </w:rPr>
              <w:t>SECRETARIO</w:t>
            </w:r>
          </w:p>
          <w:p w14:paraId="5CD77035" w14:textId="77777777" w:rsidR="00D23A93" w:rsidRPr="00D479C3" w:rsidRDefault="00D23A93" w:rsidP="00D23A93">
            <w:pPr>
              <w:widowControl w:val="0"/>
              <w:spacing w:after="0" w:line="240" w:lineRule="auto"/>
              <w:ind w:left="0" w:right="0" w:hanging="11"/>
              <w:jc w:val="center"/>
              <w:rPr>
                <w:b/>
              </w:rPr>
            </w:pPr>
          </w:p>
          <w:p w14:paraId="4FF879AB" w14:textId="77777777" w:rsidR="00D23A93" w:rsidRPr="00D479C3" w:rsidRDefault="00D23A93" w:rsidP="00D23A93">
            <w:pPr>
              <w:widowControl w:val="0"/>
              <w:spacing w:after="0" w:line="240" w:lineRule="auto"/>
              <w:ind w:left="0" w:right="0" w:hanging="11"/>
              <w:jc w:val="center"/>
              <w:rPr>
                <w:b/>
              </w:rPr>
            </w:pPr>
          </w:p>
          <w:p w14:paraId="0A607BDA" w14:textId="77777777" w:rsidR="00D23A93" w:rsidRPr="00D479C3" w:rsidRDefault="00D23A93" w:rsidP="00D23A93">
            <w:pPr>
              <w:widowControl w:val="0"/>
              <w:spacing w:after="0" w:line="240" w:lineRule="auto"/>
              <w:ind w:left="0" w:right="0" w:hanging="11"/>
              <w:jc w:val="center"/>
              <w:rPr>
                <w:b/>
              </w:rPr>
            </w:pPr>
          </w:p>
          <w:p w14:paraId="327C0ECC" w14:textId="77777777" w:rsidR="00D23A93" w:rsidRPr="00D479C3" w:rsidRDefault="00D23A93" w:rsidP="00D23A93">
            <w:pPr>
              <w:widowControl w:val="0"/>
              <w:spacing w:after="0" w:line="240" w:lineRule="auto"/>
              <w:ind w:left="0" w:right="0" w:hanging="11"/>
              <w:jc w:val="center"/>
              <w:rPr>
                <w:b/>
              </w:rPr>
            </w:pPr>
            <w:r w:rsidRPr="00D479C3">
              <w:rPr>
                <w:b/>
              </w:rPr>
              <w:t>DIP. RAFAEL ALEJANDRO ECHAZARRETA TORRES.</w:t>
            </w:r>
          </w:p>
        </w:tc>
      </w:tr>
    </w:tbl>
    <w:p w14:paraId="14C77949" w14:textId="77777777" w:rsidR="00D23A93" w:rsidRPr="00D479C3" w:rsidRDefault="00D23A93" w:rsidP="00D23A93">
      <w:pPr>
        <w:rPr>
          <w:sz w:val="18"/>
          <w:szCs w:val="18"/>
        </w:rPr>
      </w:pPr>
    </w:p>
    <w:p w14:paraId="5F0DB2AC" w14:textId="77777777" w:rsidR="008F4B1C" w:rsidRPr="003238C9" w:rsidRDefault="008F4B1C" w:rsidP="00CC0C57">
      <w:pPr>
        <w:pStyle w:val="Textoindependiente"/>
        <w:jc w:val="center"/>
        <w:rPr>
          <w:rFonts w:ascii="Arial" w:hAnsi="Arial" w:cs="Arial"/>
          <w:b/>
          <w:bCs/>
          <w:sz w:val="24"/>
          <w:szCs w:val="24"/>
          <w:lang w:val="es-MX"/>
        </w:rPr>
      </w:pPr>
    </w:p>
    <w:sectPr w:rsidR="008F4B1C" w:rsidRPr="003238C9"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041B043E"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B15AB" w:rsidRPr="008B15AB">
          <w:rPr>
            <w:rFonts w:ascii="Arial" w:hAnsi="Arial" w:cs="Arial"/>
            <w:noProof/>
            <w:lang w:val="es-ES"/>
          </w:rPr>
          <w:t>9</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0431B5"/>
    <w:multiLevelType w:val="hybridMultilevel"/>
    <w:tmpl w:val="46B628E6"/>
    <w:lvl w:ilvl="0" w:tplc="43E2BC84">
      <w:start w:val="4"/>
      <w:numFmt w:val="upperRoman"/>
      <w:lvlText w:val="%1.-"/>
      <w:lvlJc w:val="center"/>
      <w:pPr>
        <w:tabs>
          <w:tab w:val="num" w:pos="643"/>
        </w:tabs>
        <w:ind w:left="76" w:firstLine="284"/>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4"/>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
  </w:num>
  <w:num w:numId="12">
    <w:abstractNumId w:val="2"/>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62DE"/>
    <w:rsid w:val="00006B27"/>
    <w:rsid w:val="0001042A"/>
    <w:rsid w:val="000114F9"/>
    <w:rsid w:val="000116E1"/>
    <w:rsid w:val="00012802"/>
    <w:rsid w:val="00014F1D"/>
    <w:rsid w:val="000178FF"/>
    <w:rsid w:val="0002052A"/>
    <w:rsid w:val="00020AFF"/>
    <w:rsid w:val="00020F83"/>
    <w:rsid w:val="00021196"/>
    <w:rsid w:val="00022400"/>
    <w:rsid w:val="00023BCC"/>
    <w:rsid w:val="00027EFA"/>
    <w:rsid w:val="0003020A"/>
    <w:rsid w:val="00031F08"/>
    <w:rsid w:val="00033562"/>
    <w:rsid w:val="00034F57"/>
    <w:rsid w:val="00036994"/>
    <w:rsid w:val="00040325"/>
    <w:rsid w:val="0004099C"/>
    <w:rsid w:val="000411C1"/>
    <w:rsid w:val="00041B7E"/>
    <w:rsid w:val="00042A1F"/>
    <w:rsid w:val="00042B91"/>
    <w:rsid w:val="00045FEC"/>
    <w:rsid w:val="0004640A"/>
    <w:rsid w:val="000466B6"/>
    <w:rsid w:val="000505ED"/>
    <w:rsid w:val="000555B3"/>
    <w:rsid w:val="00055C53"/>
    <w:rsid w:val="000562E0"/>
    <w:rsid w:val="0005737A"/>
    <w:rsid w:val="0006074B"/>
    <w:rsid w:val="000611DB"/>
    <w:rsid w:val="000628D2"/>
    <w:rsid w:val="00062E48"/>
    <w:rsid w:val="00063A15"/>
    <w:rsid w:val="00063F97"/>
    <w:rsid w:val="000668CC"/>
    <w:rsid w:val="000700C1"/>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40A"/>
    <w:rsid w:val="00086731"/>
    <w:rsid w:val="000908F3"/>
    <w:rsid w:val="0009483C"/>
    <w:rsid w:val="000972A5"/>
    <w:rsid w:val="0009751D"/>
    <w:rsid w:val="000A0571"/>
    <w:rsid w:val="000A0AFE"/>
    <w:rsid w:val="000A0F98"/>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5C62"/>
    <w:rsid w:val="000D7962"/>
    <w:rsid w:val="000E2FB0"/>
    <w:rsid w:val="000E3041"/>
    <w:rsid w:val="000E5869"/>
    <w:rsid w:val="000E5918"/>
    <w:rsid w:val="000E6275"/>
    <w:rsid w:val="000E7C02"/>
    <w:rsid w:val="000F125D"/>
    <w:rsid w:val="000F1B7B"/>
    <w:rsid w:val="000F46E4"/>
    <w:rsid w:val="000F62A1"/>
    <w:rsid w:val="00100B94"/>
    <w:rsid w:val="00101040"/>
    <w:rsid w:val="0010135A"/>
    <w:rsid w:val="00101C60"/>
    <w:rsid w:val="0010302F"/>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767D"/>
    <w:rsid w:val="001179FA"/>
    <w:rsid w:val="00120734"/>
    <w:rsid w:val="0012317C"/>
    <w:rsid w:val="00126CB3"/>
    <w:rsid w:val="001277FB"/>
    <w:rsid w:val="00130EF8"/>
    <w:rsid w:val="001338A6"/>
    <w:rsid w:val="00133994"/>
    <w:rsid w:val="001348A1"/>
    <w:rsid w:val="0013588E"/>
    <w:rsid w:val="001365AF"/>
    <w:rsid w:val="001366D7"/>
    <w:rsid w:val="00136C36"/>
    <w:rsid w:val="00141081"/>
    <w:rsid w:val="001433D5"/>
    <w:rsid w:val="001437E3"/>
    <w:rsid w:val="00143DAC"/>
    <w:rsid w:val="001443FF"/>
    <w:rsid w:val="00144931"/>
    <w:rsid w:val="001466E9"/>
    <w:rsid w:val="001474E6"/>
    <w:rsid w:val="00147520"/>
    <w:rsid w:val="00147A9F"/>
    <w:rsid w:val="001500A2"/>
    <w:rsid w:val="00150BEA"/>
    <w:rsid w:val="00151934"/>
    <w:rsid w:val="00152BFD"/>
    <w:rsid w:val="001530B0"/>
    <w:rsid w:val="0015460C"/>
    <w:rsid w:val="00154B88"/>
    <w:rsid w:val="00154C5F"/>
    <w:rsid w:val="001555F6"/>
    <w:rsid w:val="00156AE5"/>
    <w:rsid w:val="001572E6"/>
    <w:rsid w:val="001579B1"/>
    <w:rsid w:val="0016101D"/>
    <w:rsid w:val="001621E6"/>
    <w:rsid w:val="001628C7"/>
    <w:rsid w:val="00162C34"/>
    <w:rsid w:val="0016469E"/>
    <w:rsid w:val="00164BF3"/>
    <w:rsid w:val="00165FF8"/>
    <w:rsid w:val="00171475"/>
    <w:rsid w:val="001736CF"/>
    <w:rsid w:val="00173A20"/>
    <w:rsid w:val="001753F5"/>
    <w:rsid w:val="00177184"/>
    <w:rsid w:val="00180EA2"/>
    <w:rsid w:val="00181664"/>
    <w:rsid w:val="00181922"/>
    <w:rsid w:val="00181956"/>
    <w:rsid w:val="00182E07"/>
    <w:rsid w:val="0018314C"/>
    <w:rsid w:val="00184BD5"/>
    <w:rsid w:val="0018579B"/>
    <w:rsid w:val="00187255"/>
    <w:rsid w:val="001924DA"/>
    <w:rsid w:val="00192B13"/>
    <w:rsid w:val="001947DE"/>
    <w:rsid w:val="00194B60"/>
    <w:rsid w:val="00194D55"/>
    <w:rsid w:val="00197D96"/>
    <w:rsid w:val="001A00F6"/>
    <w:rsid w:val="001A14DE"/>
    <w:rsid w:val="001A2560"/>
    <w:rsid w:val="001A2A99"/>
    <w:rsid w:val="001A3F29"/>
    <w:rsid w:val="001A54B9"/>
    <w:rsid w:val="001A7AE7"/>
    <w:rsid w:val="001A7B9D"/>
    <w:rsid w:val="001B0309"/>
    <w:rsid w:val="001B0847"/>
    <w:rsid w:val="001B1253"/>
    <w:rsid w:val="001B25A0"/>
    <w:rsid w:val="001B3793"/>
    <w:rsid w:val="001B3A24"/>
    <w:rsid w:val="001B3B82"/>
    <w:rsid w:val="001B3FEB"/>
    <w:rsid w:val="001B4333"/>
    <w:rsid w:val="001B461D"/>
    <w:rsid w:val="001B46D3"/>
    <w:rsid w:val="001B49A4"/>
    <w:rsid w:val="001B5F1D"/>
    <w:rsid w:val="001B6017"/>
    <w:rsid w:val="001C0C85"/>
    <w:rsid w:val="001C1215"/>
    <w:rsid w:val="001C20C7"/>
    <w:rsid w:val="001C3B18"/>
    <w:rsid w:val="001C52A3"/>
    <w:rsid w:val="001C5603"/>
    <w:rsid w:val="001C5BF1"/>
    <w:rsid w:val="001C6020"/>
    <w:rsid w:val="001C7067"/>
    <w:rsid w:val="001D01FB"/>
    <w:rsid w:val="001D3148"/>
    <w:rsid w:val="001D45F9"/>
    <w:rsid w:val="001D5481"/>
    <w:rsid w:val="001D666F"/>
    <w:rsid w:val="001D6680"/>
    <w:rsid w:val="001D6C9A"/>
    <w:rsid w:val="001E0563"/>
    <w:rsid w:val="001E0710"/>
    <w:rsid w:val="001E0AB3"/>
    <w:rsid w:val="001E0BF4"/>
    <w:rsid w:val="001E0D11"/>
    <w:rsid w:val="001E20BB"/>
    <w:rsid w:val="001E2144"/>
    <w:rsid w:val="001E325C"/>
    <w:rsid w:val="001E3B7D"/>
    <w:rsid w:val="001E41BE"/>
    <w:rsid w:val="001E4476"/>
    <w:rsid w:val="001E6240"/>
    <w:rsid w:val="001E6AC1"/>
    <w:rsid w:val="001F0B6D"/>
    <w:rsid w:val="001F36C4"/>
    <w:rsid w:val="001F433F"/>
    <w:rsid w:val="001F5603"/>
    <w:rsid w:val="001F6687"/>
    <w:rsid w:val="00200049"/>
    <w:rsid w:val="002008C9"/>
    <w:rsid w:val="00201AAA"/>
    <w:rsid w:val="00201E2D"/>
    <w:rsid w:val="0020208D"/>
    <w:rsid w:val="00204187"/>
    <w:rsid w:val="00204DC4"/>
    <w:rsid w:val="00205A90"/>
    <w:rsid w:val="00211BD5"/>
    <w:rsid w:val="002127C8"/>
    <w:rsid w:val="00212FEB"/>
    <w:rsid w:val="00223310"/>
    <w:rsid w:val="00225345"/>
    <w:rsid w:val="00225955"/>
    <w:rsid w:val="00225A79"/>
    <w:rsid w:val="00230D34"/>
    <w:rsid w:val="00232376"/>
    <w:rsid w:val="002331D9"/>
    <w:rsid w:val="00235508"/>
    <w:rsid w:val="002358C0"/>
    <w:rsid w:val="00235FF6"/>
    <w:rsid w:val="00244760"/>
    <w:rsid w:val="00245BC7"/>
    <w:rsid w:val="00246D2D"/>
    <w:rsid w:val="00247487"/>
    <w:rsid w:val="0025187C"/>
    <w:rsid w:val="00252EFC"/>
    <w:rsid w:val="00253CAF"/>
    <w:rsid w:val="00255CDB"/>
    <w:rsid w:val="00260B39"/>
    <w:rsid w:val="00261B8F"/>
    <w:rsid w:val="002626A4"/>
    <w:rsid w:val="002659A9"/>
    <w:rsid w:val="00265D74"/>
    <w:rsid w:val="00265F9C"/>
    <w:rsid w:val="00266801"/>
    <w:rsid w:val="0026758A"/>
    <w:rsid w:val="002679ED"/>
    <w:rsid w:val="00270AA1"/>
    <w:rsid w:val="002745FF"/>
    <w:rsid w:val="00274629"/>
    <w:rsid w:val="00275794"/>
    <w:rsid w:val="0027696D"/>
    <w:rsid w:val="00277AC5"/>
    <w:rsid w:val="00277B0B"/>
    <w:rsid w:val="00281C2C"/>
    <w:rsid w:val="0028213F"/>
    <w:rsid w:val="0028264A"/>
    <w:rsid w:val="00284629"/>
    <w:rsid w:val="0028596B"/>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DDB"/>
    <w:rsid w:val="002A7C64"/>
    <w:rsid w:val="002B059E"/>
    <w:rsid w:val="002B1ED0"/>
    <w:rsid w:val="002B3F9E"/>
    <w:rsid w:val="002B568E"/>
    <w:rsid w:val="002B5A5A"/>
    <w:rsid w:val="002B6DBE"/>
    <w:rsid w:val="002C0781"/>
    <w:rsid w:val="002C0BC3"/>
    <w:rsid w:val="002C1550"/>
    <w:rsid w:val="002C297D"/>
    <w:rsid w:val="002C34F4"/>
    <w:rsid w:val="002C79F3"/>
    <w:rsid w:val="002D0C2F"/>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787D"/>
    <w:rsid w:val="00300928"/>
    <w:rsid w:val="003041E5"/>
    <w:rsid w:val="00306536"/>
    <w:rsid w:val="003074BF"/>
    <w:rsid w:val="0030753C"/>
    <w:rsid w:val="00310BC0"/>
    <w:rsid w:val="00311CDA"/>
    <w:rsid w:val="003144D3"/>
    <w:rsid w:val="00315F37"/>
    <w:rsid w:val="00316C08"/>
    <w:rsid w:val="00317540"/>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0D"/>
    <w:rsid w:val="003269F6"/>
    <w:rsid w:val="00330406"/>
    <w:rsid w:val="00330C12"/>
    <w:rsid w:val="0033385B"/>
    <w:rsid w:val="00333C3B"/>
    <w:rsid w:val="00333E4F"/>
    <w:rsid w:val="00334486"/>
    <w:rsid w:val="003424A5"/>
    <w:rsid w:val="00342B24"/>
    <w:rsid w:val="00342CC8"/>
    <w:rsid w:val="00343123"/>
    <w:rsid w:val="00343A04"/>
    <w:rsid w:val="00343BEF"/>
    <w:rsid w:val="003440CC"/>
    <w:rsid w:val="00345EA6"/>
    <w:rsid w:val="00346986"/>
    <w:rsid w:val="00346A7A"/>
    <w:rsid w:val="00347E04"/>
    <w:rsid w:val="00351C47"/>
    <w:rsid w:val="00352955"/>
    <w:rsid w:val="0035300A"/>
    <w:rsid w:val="00354180"/>
    <w:rsid w:val="00356003"/>
    <w:rsid w:val="00357881"/>
    <w:rsid w:val="00357E64"/>
    <w:rsid w:val="00360E8B"/>
    <w:rsid w:val="00360EC2"/>
    <w:rsid w:val="0036262E"/>
    <w:rsid w:val="00362ABF"/>
    <w:rsid w:val="00362BD4"/>
    <w:rsid w:val="00367009"/>
    <w:rsid w:val="003707E1"/>
    <w:rsid w:val="00371D84"/>
    <w:rsid w:val="00372703"/>
    <w:rsid w:val="00372EAA"/>
    <w:rsid w:val="00374306"/>
    <w:rsid w:val="00374C94"/>
    <w:rsid w:val="0037574E"/>
    <w:rsid w:val="0037658A"/>
    <w:rsid w:val="003767AB"/>
    <w:rsid w:val="0037748E"/>
    <w:rsid w:val="00383843"/>
    <w:rsid w:val="00386377"/>
    <w:rsid w:val="00387099"/>
    <w:rsid w:val="00387455"/>
    <w:rsid w:val="003917AC"/>
    <w:rsid w:val="00391C46"/>
    <w:rsid w:val="003924CD"/>
    <w:rsid w:val="00393099"/>
    <w:rsid w:val="0039385A"/>
    <w:rsid w:val="00394404"/>
    <w:rsid w:val="00394CE1"/>
    <w:rsid w:val="003970FD"/>
    <w:rsid w:val="00397943"/>
    <w:rsid w:val="003A04BD"/>
    <w:rsid w:val="003A088D"/>
    <w:rsid w:val="003A1127"/>
    <w:rsid w:val="003A230C"/>
    <w:rsid w:val="003A3EDB"/>
    <w:rsid w:val="003A7C58"/>
    <w:rsid w:val="003B1428"/>
    <w:rsid w:val="003B2839"/>
    <w:rsid w:val="003B4586"/>
    <w:rsid w:val="003B4EA0"/>
    <w:rsid w:val="003B6202"/>
    <w:rsid w:val="003B6488"/>
    <w:rsid w:val="003B66D5"/>
    <w:rsid w:val="003B6E6F"/>
    <w:rsid w:val="003B7664"/>
    <w:rsid w:val="003B7E94"/>
    <w:rsid w:val="003C187C"/>
    <w:rsid w:val="003C247F"/>
    <w:rsid w:val="003C4BAC"/>
    <w:rsid w:val="003C54EB"/>
    <w:rsid w:val="003C5959"/>
    <w:rsid w:val="003C6E7B"/>
    <w:rsid w:val="003D0575"/>
    <w:rsid w:val="003D09A4"/>
    <w:rsid w:val="003D175B"/>
    <w:rsid w:val="003D2137"/>
    <w:rsid w:val="003D3172"/>
    <w:rsid w:val="003D43A5"/>
    <w:rsid w:val="003D5BE1"/>
    <w:rsid w:val="003D6CD1"/>
    <w:rsid w:val="003E31E6"/>
    <w:rsid w:val="003E55BD"/>
    <w:rsid w:val="003E680E"/>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265"/>
    <w:rsid w:val="00416F39"/>
    <w:rsid w:val="00417905"/>
    <w:rsid w:val="0042119C"/>
    <w:rsid w:val="00421901"/>
    <w:rsid w:val="00422942"/>
    <w:rsid w:val="004230F8"/>
    <w:rsid w:val="004238C2"/>
    <w:rsid w:val="00424660"/>
    <w:rsid w:val="00425BE0"/>
    <w:rsid w:val="00426E69"/>
    <w:rsid w:val="00430306"/>
    <w:rsid w:val="0043074A"/>
    <w:rsid w:val="00431985"/>
    <w:rsid w:val="00431E08"/>
    <w:rsid w:val="00432692"/>
    <w:rsid w:val="00434308"/>
    <w:rsid w:val="004349BD"/>
    <w:rsid w:val="00435EAF"/>
    <w:rsid w:val="00436F6C"/>
    <w:rsid w:val="00437817"/>
    <w:rsid w:val="0044125E"/>
    <w:rsid w:val="0044159A"/>
    <w:rsid w:val="00443A99"/>
    <w:rsid w:val="00444010"/>
    <w:rsid w:val="004458A0"/>
    <w:rsid w:val="00447C98"/>
    <w:rsid w:val="00450512"/>
    <w:rsid w:val="00451177"/>
    <w:rsid w:val="00451EE7"/>
    <w:rsid w:val="00453DD7"/>
    <w:rsid w:val="004560BC"/>
    <w:rsid w:val="004563DB"/>
    <w:rsid w:val="004569A6"/>
    <w:rsid w:val="004569F4"/>
    <w:rsid w:val="004575C0"/>
    <w:rsid w:val="00460269"/>
    <w:rsid w:val="00460F16"/>
    <w:rsid w:val="00462736"/>
    <w:rsid w:val="004629AE"/>
    <w:rsid w:val="00462F96"/>
    <w:rsid w:val="00463512"/>
    <w:rsid w:val="0046436E"/>
    <w:rsid w:val="00464DDC"/>
    <w:rsid w:val="004674BC"/>
    <w:rsid w:val="0046754F"/>
    <w:rsid w:val="00467A91"/>
    <w:rsid w:val="00472894"/>
    <w:rsid w:val="00472AFA"/>
    <w:rsid w:val="0047471B"/>
    <w:rsid w:val="004753FF"/>
    <w:rsid w:val="00475766"/>
    <w:rsid w:val="004761DF"/>
    <w:rsid w:val="0047793F"/>
    <w:rsid w:val="00477D95"/>
    <w:rsid w:val="00480E6C"/>
    <w:rsid w:val="00482389"/>
    <w:rsid w:val="004823FD"/>
    <w:rsid w:val="00482C82"/>
    <w:rsid w:val="0048335C"/>
    <w:rsid w:val="0048400C"/>
    <w:rsid w:val="00484024"/>
    <w:rsid w:val="0048424E"/>
    <w:rsid w:val="00484527"/>
    <w:rsid w:val="00485B45"/>
    <w:rsid w:val="00485E62"/>
    <w:rsid w:val="0049057B"/>
    <w:rsid w:val="00494FFD"/>
    <w:rsid w:val="00495049"/>
    <w:rsid w:val="00495916"/>
    <w:rsid w:val="00495C2E"/>
    <w:rsid w:val="004960CC"/>
    <w:rsid w:val="004967BE"/>
    <w:rsid w:val="004974E3"/>
    <w:rsid w:val="004A0938"/>
    <w:rsid w:val="004A27A4"/>
    <w:rsid w:val="004A3840"/>
    <w:rsid w:val="004A6910"/>
    <w:rsid w:val="004A6FA5"/>
    <w:rsid w:val="004A73FD"/>
    <w:rsid w:val="004A797D"/>
    <w:rsid w:val="004A7ACB"/>
    <w:rsid w:val="004A7E28"/>
    <w:rsid w:val="004B0A90"/>
    <w:rsid w:val="004B0E50"/>
    <w:rsid w:val="004B1A20"/>
    <w:rsid w:val="004B2DC3"/>
    <w:rsid w:val="004B4BC4"/>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896"/>
    <w:rsid w:val="004D4DDD"/>
    <w:rsid w:val="004D5A74"/>
    <w:rsid w:val="004D60F5"/>
    <w:rsid w:val="004D7F1F"/>
    <w:rsid w:val="004E134E"/>
    <w:rsid w:val="004E1584"/>
    <w:rsid w:val="004E1691"/>
    <w:rsid w:val="004E2ABB"/>
    <w:rsid w:val="004E4318"/>
    <w:rsid w:val="004E4499"/>
    <w:rsid w:val="004E4FC4"/>
    <w:rsid w:val="004E5CAA"/>
    <w:rsid w:val="004E65EB"/>
    <w:rsid w:val="004E6BC0"/>
    <w:rsid w:val="004F03F7"/>
    <w:rsid w:val="004F5445"/>
    <w:rsid w:val="004F6FF3"/>
    <w:rsid w:val="004F7F21"/>
    <w:rsid w:val="005008E9"/>
    <w:rsid w:val="00502B06"/>
    <w:rsid w:val="00503B28"/>
    <w:rsid w:val="0050570B"/>
    <w:rsid w:val="00506355"/>
    <w:rsid w:val="00507BBE"/>
    <w:rsid w:val="0051012E"/>
    <w:rsid w:val="005108B0"/>
    <w:rsid w:val="005109B0"/>
    <w:rsid w:val="0051151D"/>
    <w:rsid w:val="00514FCC"/>
    <w:rsid w:val="00515209"/>
    <w:rsid w:val="00520B7D"/>
    <w:rsid w:val="005219AC"/>
    <w:rsid w:val="005234CB"/>
    <w:rsid w:val="00523943"/>
    <w:rsid w:val="00523A1F"/>
    <w:rsid w:val="00523AA0"/>
    <w:rsid w:val="005244EA"/>
    <w:rsid w:val="0052554A"/>
    <w:rsid w:val="00525F0A"/>
    <w:rsid w:val="00526068"/>
    <w:rsid w:val="0052738F"/>
    <w:rsid w:val="00531FF2"/>
    <w:rsid w:val="005334AF"/>
    <w:rsid w:val="00533AD6"/>
    <w:rsid w:val="00533C92"/>
    <w:rsid w:val="00535D5B"/>
    <w:rsid w:val="00536621"/>
    <w:rsid w:val="005370EB"/>
    <w:rsid w:val="005451C6"/>
    <w:rsid w:val="00545916"/>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7145"/>
    <w:rsid w:val="005602C4"/>
    <w:rsid w:val="00560318"/>
    <w:rsid w:val="00561175"/>
    <w:rsid w:val="00561CE8"/>
    <w:rsid w:val="00562054"/>
    <w:rsid w:val="005641FD"/>
    <w:rsid w:val="00566040"/>
    <w:rsid w:val="00567E40"/>
    <w:rsid w:val="00567F7D"/>
    <w:rsid w:val="00570DDE"/>
    <w:rsid w:val="00572287"/>
    <w:rsid w:val="005739AF"/>
    <w:rsid w:val="00573D34"/>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7200"/>
    <w:rsid w:val="005C7697"/>
    <w:rsid w:val="005C785A"/>
    <w:rsid w:val="005D25F4"/>
    <w:rsid w:val="005D2A7A"/>
    <w:rsid w:val="005D3C23"/>
    <w:rsid w:val="005D408E"/>
    <w:rsid w:val="005D45D4"/>
    <w:rsid w:val="005D4738"/>
    <w:rsid w:val="005D5D43"/>
    <w:rsid w:val="005D6400"/>
    <w:rsid w:val="005D731C"/>
    <w:rsid w:val="005E1068"/>
    <w:rsid w:val="005E13BA"/>
    <w:rsid w:val="005E1BDD"/>
    <w:rsid w:val="005E2585"/>
    <w:rsid w:val="005E488E"/>
    <w:rsid w:val="005E5493"/>
    <w:rsid w:val="005E5CFF"/>
    <w:rsid w:val="005E755E"/>
    <w:rsid w:val="005E7CA8"/>
    <w:rsid w:val="005F1B7F"/>
    <w:rsid w:val="005F36E3"/>
    <w:rsid w:val="005F5E67"/>
    <w:rsid w:val="006003EF"/>
    <w:rsid w:val="006008F2"/>
    <w:rsid w:val="00600E07"/>
    <w:rsid w:val="006011B7"/>
    <w:rsid w:val="006032A4"/>
    <w:rsid w:val="006032FF"/>
    <w:rsid w:val="00603357"/>
    <w:rsid w:val="00603B78"/>
    <w:rsid w:val="00604911"/>
    <w:rsid w:val="00604FA9"/>
    <w:rsid w:val="006070AA"/>
    <w:rsid w:val="006076BC"/>
    <w:rsid w:val="00610706"/>
    <w:rsid w:val="00612B75"/>
    <w:rsid w:val="006130FC"/>
    <w:rsid w:val="0061384C"/>
    <w:rsid w:val="00616CF7"/>
    <w:rsid w:val="00616F14"/>
    <w:rsid w:val="00617E50"/>
    <w:rsid w:val="00620115"/>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0EC2"/>
    <w:rsid w:val="0064114E"/>
    <w:rsid w:val="00641D4D"/>
    <w:rsid w:val="00642069"/>
    <w:rsid w:val="00643C82"/>
    <w:rsid w:val="006440A1"/>
    <w:rsid w:val="0064458A"/>
    <w:rsid w:val="0064462A"/>
    <w:rsid w:val="006463AE"/>
    <w:rsid w:val="00646CEC"/>
    <w:rsid w:val="0064752C"/>
    <w:rsid w:val="00647BBD"/>
    <w:rsid w:val="00650E4B"/>
    <w:rsid w:val="00652AA9"/>
    <w:rsid w:val="00653D8D"/>
    <w:rsid w:val="00654DE2"/>
    <w:rsid w:val="00654E7F"/>
    <w:rsid w:val="00656B91"/>
    <w:rsid w:val="00657672"/>
    <w:rsid w:val="00657815"/>
    <w:rsid w:val="0066098F"/>
    <w:rsid w:val="00661B19"/>
    <w:rsid w:val="00664F87"/>
    <w:rsid w:val="00667A41"/>
    <w:rsid w:val="0067025F"/>
    <w:rsid w:val="00671B85"/>
    <w:rsid w:val="00672C23"/>
    <w:rsid w:val="00674EA3"/>
    <w:rsid w:val="0067505E"/>
    <w:rsid w:val="006762DA"/>
    <w:rsid w:val="00677719"/>
    <w:rsid w:val="00681287"/>
    <w:rsid w:val="006830E1"/>
    <w:rsid w:val="00684613"/>
    <w:rsid w:val="00685C4F"/>
    <w:rsid w:val="00686ABD"/>
    <w:rsid w:val="006905CD"/>
    <w:rsid w:val="00690EAC"/>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246E"/>
    <w:rsid w:val="006B4793"/>
    <w:rsid w:val="006B51A3"/>
    <w:rsid w:val="006B589F"/>
    <w:rsid w:val="006B7ED6"/>
    <w:rsid w:val="006C01A3"/>
    <w:rsid w:val="006C026C"/>
    <w:rsid w:val="006C0363"/>
    <w:rsid w:val="006C3940"/>
    <w:rsid w:val="006C4945"/>
    <w:rsid w:val="006C590D"/>
    <w:rsid w:val="006C69F5"/>
    <w:rsid w:val="006C7ECF"/>
    <w:rsid w:val="006D0204"/>
    <w:rsid w:val="006D0288"/>
    <w:rsid w:val="006D2664"/>
    <w:rsid w:val="006D5F5A"/>
    <w:rsid w:val="006D6661"/>
    <w:rsid w:val="006D66AA"/>
    <w:rsid w:val="006D7096"/>
    <w:rsid w:val="006E25E0"/>
    <w:rsid w:val="006E2AF9"/>
    <w:rsid w:val="006E38D7"/>
    <w:rsid w:val="006E39DB"/>
    <w:rsid w:val="006E7725"/>
    <w:rsid w:val="006F4C79"/>
    <w:rsid w:val="006F692B"/>
    <w:rsid w:val="007012D9"/>
    <w:rsid w:val="007043D0"/>
    <w:rsid w:val="00704EE5"/>
    <w:rsid w:val="00705EAB"/>
    <w:rsid w:val="007073AB"/>
    <w:rsid w:val="00710452"/>
    <w:rsid w:val="00710DD3"/>
    <w:rsid w:val="00710DDA"/>
    <w:rsid w:val="00712273"/>
    <w:rsid w:val="00716F0A"/>
    <w:rsid w:val="0071734C"/>
    <w:rsid w:val="00721CAB"/>
    <w:rsid w:val="0072436A"/>
    <w:rsid w:val="00724B49"/>
    <w:rsid w:val="00730939"/>
    <w:rsid w:val="00733BBD"/>
    <w:rsid w:val="007347B3"/>
    <w:rsid w:val="00737154"/>
    <w:rsid w:val="00737A1B"/>
    <w:rsid w:val="0074102F"/>
    <w:rsid w:val="00741752"/>
    <w:rsid w:val="00742C77"/>
    <w:rsid w:val="00743015"/>
    <w:rsid w:val="0074550A"/>
    <w:rsid w:val="00745EB0"/>
    <w:rsid w:val="007476B0"/>
    <w:rsid w:val="007508BB"/>
    <w:rsid w:val="0075174F"/>
    <w:rsid w:val="00751EB8"/>
    <w:rsid w:val="00753AD3"/>
    <w:rsid w:val="00754020"/>
    <w:rsid w:val="007554CA"/>
    <w:rsid w:val="00755827"/>
    <w:rsid w:val="00756693"/>
    <w:rsid w:val="00756FC8"/>
    <w:rsid w:val="00757408"/>
    <w:rsid w:val="00761A27"/>
    <w:rsid w:val="00762871"/>
    <w:rsid w:val="007654CB"/>
    <w:rsid w:val="00765908"/>
    <w:rsid w:val="0076690B"/>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357E"/>
    <w:rsid w:val="00795FE5"/>
    <w:rsid w:val="007A0535"/>
    <w:rsid w:val="007A0FC6"/>
    <w:rsid w:val="007A2E9B"/>
    <w:rsid w:val="007A4CC3"/>
    <w:rsid w:val="007A550F"/>
    <w:rsid w:val="007A743D"/>
    <w:rsid w:val="007B07F8"/>
    <w:rsid w:val="007B1140"/>
    <w:rsid w:val="007B119A"/>
    <w:rsid w:val="007B242D"/>
    <w:rsid w:val="007B4DE9"/>
    <w:rsid w:val="007B5BDC"/>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3BF"/>
    <w:rsid w:val="007E1501"/>
    <w:rsid w:val="007E15E9"/>
    <w:rsid w:val="007E1977"/>
    <w:rsid w:val="007E1A2B"/>
    <w:rsid w:val="007E2910"/>
    <w:rsid w:val="007E344D"/>
    <w:rsid w:val="007E4843"/>
    <w:rsid w:val="007E4E3E"/>
    <w:rsid w:val="007E50B6"/>
    <w:rsid w:val="007E5D9E"/>
    <w:rsid w:val="007E60DE"/>
    <w:rsid w:val="007F0841"/>
    <w:rsid w:val="007F3A83"/>
    <w:rsid w:val="007F3AF9"/>
    <w:rsid w:val="007F3BE4"/>
    <w:rsid w:val="007F41CA"/>
    <w:rsid w:val="007F5155"/>
    <w:rsid w:val="007F62BC"/>
    <w:rsid w:val="007F63C9"/>
    <w:rsid w:val="007F642A"/>
    <w:rsid w:val="007F669B"/>
    <w:rsid w:val="007F7671"/>
    <w:rsid w:val="007F7BAF"/>
    <w:rsid w:val="0080515B"/>
    <w:rsid w:val="0080708A"/>
    <w:rsid w:val="0080780D"/>
    <w:rsid w:val="00807B52"/>
    <w:rsid w:val="00807EF9"/>
    <w:rsid w:val="00810D1E"/>
    <w:rsid w:val="00810FCE"/>
    <w:rsid w:val="00812057"/>
    <w:rsid w:val="00813892"/>
    <w:rsid w:val="00814052"/>
    <w:rsid w:val="008144AF"/>
    <w:rsid w:val="00814917"/>
    <w:rsid w:val="00814BAB"/>
    <w:rsid w:val="00814D98"/>
    <w:rsid w:val="00814E50"/>
    <w:rsid w:val="00815A2A"/>
    <w:rsid w:val="008160E5"/>
    <w:rsid w:val="0082241A"/>
    <w:rsid w:val="00822A34"/>
    <w:rsid w:val="00824030"/>
    <w:rsid w:val="00824B42"/>
    <w:rsid w:val="008256CC"/>
    <w:rsid w:val="0083001F"/>
    <w:rsid w:val="00830678"/>
    <w:rsid w:val="00830AB7"/>
    <w:rsid w:val="00830DCD"/>
    <w:rsid w:val="00833228"/>
    <w:rsid w:val="008345D1"/>
    <w:rsid w:val="008347DF"/>
    <w:rsid w:val="00835B60"/>
    <w:rsid w:val="00836BBF"/>
    <w:rsid w:val="00837D7A"/>
    <w:rsid w:val="00840B7B"/>
    <w:rsid w:val="00842433"/>
    <w:rsid w:val="00842C2D"/>
    <w:rsid w:val="00842E87"/>
    <w:rsid w:val="00844470"/>
    <w:rsid w:val="00844F48"/>
    <w:rsid w:val="008455C3"/>
    <w:rsid w:val="00846310"/>
    <w:rsid w:val="0084695A"/>
    <w:rsid w:val="00847C04"/>
    <w:rsid w:val="00847C3A"/>
    <w:rsid w:val="00847E9A"/>
    <w:rsid w:val="00850332"/>
    <w:rsid w:val="00850974"/>
    <w:rsid w:val="00852C1F"/>
    <w:rsid w:val="00857328"/>
    <w:rsid w:val="008575D7"/>
    <w:rsid w:val="00862123"/>
    <w:rsid w:val="008621CC"/>
    <w:rsid w:val="00862CF1"/>
    <w:rsid w:val="00864A2C"/>
    <w:rsid w:val="0086530E"/>
    <w:rsid w:val="00866D42"/>
    <w:rsid w:val="008704F0"/>
    <w:rsid w:val="008728B3"/>
    <w:rsid w:val="00874DB3"/>
    <w:rsid w:val="00876ACA"/>
    <w:rsid w:val="008775DB"/>
    <w:rsid w:val="00877930"/>
    <w:rsid w:val="00880349"/>
    <w:rsid w:val="008825D9"/>
    <w:rsid w:val="00882B6A"/>
    <w:rsid w:val="00884A65"/>
    <w:rsid w:val="0088570C"/>
    <w:rsid w:val="008857A7"/>
    <w:rsid w:val="0089102A"/>
    <w:rsid w:val="008912BA"/>
    <w:rsid w:val="0089259A"/>
    <w:rsid w:val="00893DCA"/>
    <w:rsid w:val="00895941"/>
    <w:rsid w:val="008976A3"/>
    <w:rsid w:val="008A395C"/>
    <w:rsid w:val="008A3ECE"/>
    <w:rsid w:val="008A44C7"/>
    <w:rsid w:val="008A4C16"/>
    <w:rsid w:val="008B08E7"/>
    <w:rsid w:val="008B12DA"/>
    <w:rsid w:val="008B15AB"/>
    <w:rsid w:val="008B239B"/>
    <w:rsid w:val="008B23F8"/>
    <w:rsid w:val="008B363A"/>
    <w:rsid w:val="008B4349"/>
    <w:rsid w:val="008B45C5"/>
    <w:rsid w:val="008B49FD"/>
    <w:rsid w:val="008B5C47"/>
    <w:rsid w:val="008B734D"/>
    <w:rsid w:val="008C1239"/>
    <w:rsid w:val="008C16B4"/>
    <w:rsid w:val="008C25E2"/>
    <w:rsid w:val="008C28F7"/>
    <w:rsid w:val="008C3454"/>
    <w:rsid w:val="008C647B"/>
    <w:rsid w:val="008C7BBB"/>
    <w:rsid w:val="008D0390"/>
    <w:rsid w:val="008D1E05"/>
    <w:rsid w:val="008D5661"/>
    <w:rsid w:val="008D60A0"/>
    <w:rsid w:val="008D6D67"/>
    <w:rsid w:val="008D793B"/>
    <w:rsid w:val="008D7AA3"/>
    <w:rsid w:val="008D7B09"/>
    <w:rsid w:val="008D7B59"/>
    <w:rsid w:val="008E07B6"/>
    <w:rsid w:val="008E16D7"/>
    <w:rsid w:val="008E1D24"/>
    <w:rsid w:val="008E24DA"/>
    <w:rsid w:val="008E2E0C"/>
    <w:rsid w:val="008E4CC9"/>
    <w:rsid w:val="008E5059"/>
    <w:rsid w:val="008E54F4"/>
    <w:rsid w:val="008E6291"/>
    <w:rsid w:val="008F2110"/>
    <w:rsid w:val="008F3FB7"/>
    <w:rsid w:val="008F46FA"/>
    <w:rsid w:val="008F477E"/>
    <w:rsid w:val="008F4B1C"/>
    <w:rsid w:val="008F54E5"/>
    <w:rsid w:val="008F6003"/>
    <w:rsid w:val="008F7CB6"/>
    <w:rsid w:val="008F7DCC"/>
    <w:rsid w:val="00900C30"/>
    <w:rsid w:val="00902602"/>
    <w:rsid w:val="00902A43"/>
    <w:rsid w:val="00903717"/>
    <w:rsid w:val="00903ED0"/>
    <w:rsid w:val="0090414D"/>
    <w:rsid w:val="00905A3E"/>
    <w:rsid w:val="009068B6"/>
    <w:rsid w:val="00910B5E"/>
    <w:rsid w:val="00910DE6"/>
    <w:rsid w:val="00911804"/>
    <w:rsid w:val="00911BD1"/>
    <w:rsid w:val="00913C65"/>
    <w:rsid w:val="00913D68"/>
    <w:rsid w:val="00913DDC"/>
    <w:rsid w:val="00914683"/>
    <w:rsid w:val="00914E1D"/>
    <w:rsid w:val="00916AA5"/>
    <w:rsid w:val="009175DA"/>
    <w:rsid w:val="00920269"/>
    <w:rsid w:val="00920A9C"/>
    <w:rsid w:val="00921EDE"/>
    <w:rsid w:val="00922B67"/>
    <w:rsid w:val="00923896"/>
    <w:rsid w:val="00924044"/>
    <w:rsid w:val="00925F3A"/>
    <w:rsid w:val="0093116C"/>
    <w:rsid w:val="00932C69"/>
    <w:rsid w:val="00934FD9"/>
    <w:rsid w:val="0093618E"/>
    <w:rsid w:val="00943134"/>
    <w:rsid w:val="00943FB0"/>
    <w:rsid w:val="00944085"/>
    <w:rsid w:val="00947E6D"/>
    <w:rsid w:val="00950739"/>
    <w:rsid w:val="009507AE"/>
    <w:rsid w:val="009507D8"/>
    <w:rsid w:val="00950B75"/>
    <w:rsid w:val="00952D41"/>
    <w:rsid w:val="0095536D"/>
    <w:rsid w:val="00955466"/>
    <w:rsid w:val="009604BA"/>
    <w:rsid w:val="00960EA0"/>
    <w:rsid w:val="009632FA"/>
    <w:rsid w:val="00963E39"/>
    <w:rsid w:val="00965B98"/>
    <w:rsid w:val="00967A64"/>
    <w:rsid w:val="00970048"/>
    <w:rsid w:val="0097016D"/>
    <w:rsid w:val="009722EC"/>
    <w:rsid w:val="00972CB0"/>
    <w:rsid w:val="00974D3E"/>
    <w:rsid w:val="0097508A"/>
    <w:rsid w:val="00975F81"/>
    <w:rsid w:val="00981747"/>
    <w:rsid w:val="00981789"/>
    <w:rsid w:val="00982645"/>
    <w:rsid w:val="00984422"/>
    <w:rsid w:val="00987318"/>
    <w:rsid w:val="009878D3"/>
    <w:rsid w:val="00991654"/>
    <w:rsid w:val="009937FA"/>
    <w:rsid w:val="00996F50"/>
    <w:rsid w:val="00997E79"/>
    <w:rsid w:val="009A10A3"/>
    <w:rsid w:val="009A2623"/>
    <w:rsid w:val="009A4BB1"/>
    <w:rsid w:val="009A4CF4"/>
    <w:rsid w:val="009A5E08"/>
    <w:rsid w:val="009A64A3"/>
    <w:rsid w:val="009B05CE"/>
    <w:rsid w:val="009B34BB"/>
    <w:rsid w:val="009B4FCE"/>
    <w:rsid w:val="009B531B"/>
    <w:rsid w:val="009B6096"/>
    <w:rsid w:val="009B60F5"/>
    <w:rsid w:val="009B7020"/>
    <w:rsid w:val="009B7BAA"/>
    <w:rsid w:val="009B7FB9"/>
    <w:rsid w:val="009C16E2"/>
    <w:rsid w:val="009C1860"/>
    <w:rsid w:val="009C1F80"/>
    <w:rsid w:val="009C291A"/>
    <w:rsid w:val="009C2EAF"/>
    <w:rsid w:val="009C3244"/>
    <w:rsid w:val="009C3962"/>
    <w:rsid w:val="009C5B54"/>
    <w:rsid w:val="009C65BD"/>
    <w:rsid w:val="009C6605"/>
    <w:rsid w:val="009C7830"/>
    <w:rsid w:val="009C7907"/>
    <w:rsid w:val="009D010B"/>
    <w:rsid w:val="009D0125"/>
    <w:rsid w:val="009D0493"/>
    <w:rsid w:val="009D0C53"/>
    <w:rsid w:val="009D1444"/>
    <w:rsid w:val="009D211E"/>
    <w:rsid w:val="009D2130"/>
    <w:rsid w:val="009D477C"/>
    <w:rsid w:val="009D48AA"/>
    <w:rsid w:val="009D51F7"/>
    <w:rsid w:val="009D6422"/>
    <w:rsid w:val="009D6F3E"/>
    <w:rsid w:val="009E09C8"/>
    <w:rsid w:val="009E2209"/>
    <w:rsid w:val="009E23FB"/>
    <w:rsid w:val="009E2FC6"/>
    <w:rsid w:val="009E3945"/>
    <w:rsid w:val="009E5832"/>
    <w:rsid w:val="009E61AA"/>
    <w:rsid w:val="009E6915"/>
    <w:rsid w:val="009E7A83"/>
    <w:rsid w:val="009E7F9C"/>
    <w:rsid w:val="009F005E"/>
    <w:rsid w:val="009F0F21"/>
    <w:rsid w:val="009F219B"/>
    <w:rsid w:val="009F2741"/>
    <w:rsid w:val="009F2A55"/>
    <w:rsid w:val="009F37ED"/>
    <w:rsid w:val="009F43A4"/>
    <w:rsid w:val="009F466A"/>
    <w:rsid w:val="009F47CE"/>
    <w:rsid w:val="009F4E79"/>
    <w:rsid w:val="009F61AB"/>
    <w:rsid w:val="009F696F"/>
    <w:rsid w:val="009F73CC"/>
    <w:rsid w:val="009F76F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0875"/>
    <w:rsid w:val="00A3196C"/>
    <w:rsid w:val="00A32DF3"/>
    <w:rsid w:val="00A36606"/>
    <w:rsid w:val="00A36CC6"/>
    <w:rsid w:val="00A40BFE"/>
    <w:rsid w:val="00A411C5"/>
    <w:rsid w:val="00A42F90"/>
    <w:rsid w:val="00A445AB"/>
    <w:rsid w:val="00A44B27"/>
    <w:rsid w:val="00A4626C"/>
    <w:rsid w:val="00A46744"/>
    <w:rsid w:val="00A46DC9"/>
    <w:rsid w:val="00A47832"/>
    <w:rsid w:val="00A50A25"/>
    <w:rsid w:val="00A52219"/>
    <w:rsid w:val="00A54FAC"/>
    <w:rsid w:val="00A56DEA"/>
    <w:rsid w:val="00A604D3"/>
    <w:rsid w:val="00A607EE"/>
    <w:rsid w:val="00A617C1"/>
    <w:rsid w:val="00A631D7"/>
    <w:rsid w:val="00A63E45"/>
    <w:rsid w:val="00A668D1"/>
    <w:rsid w:val="00A67386"/>
    <w:rsid w:val="00A70290"/>
    <w:rsid w:val="00A716D7"/>
    <w:rsid w:val="00A71919"/>
    <w:rsid w:val="00A71A81"/>
    <w:rsid w:val="00A73481"/>
    <w:rsid w:val="00A736DB"/>
    <w:rsid w:val="00A73C69"/>
    <w:rsid w:val="00A74D0B"/>
    <w:rsid w:val="00A75D09"/>
    <w:rsid w:val="00A75E0B"/>
    <w:rsid w:val="00A76D83"/>
    <w:rsid w:val="00A8060B"/>
    <w:rsid w:val="00A80C70"/>
    <w:rsid w:val="00A839A1"/>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66DF"/>
    <w:rsid w:val="00AB7AB1"/>
    <w:rsid w:val="00AC059F"/>
    <w:rsid w:val="00AC242D"/>
    <w:rsid w:val="00AC28B1"/>
    <w:rsid w:val="00AC3812"/>
    <w:rsid w:val="00AC4E08"/>
    <w:rsid w:val="00AC6C54"/>
    <w:rsid w:val="00AC6E8A"/>
    <w:rsid w:val="00AD3684"/>
    <w:rsid w:val="00AD3A6D"/>
    <w:rsid w:val="00AD3B28"/>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5587"/>
    <w:rsid w:val="00B17C12"/>
    <w:rsid w:val="00B229A6"/>
    <w:rsid w:val="00B2333B"/>
    <w:rsid w:val="00B24A0F"/>
    <w:rsid w:val="00B24D54"/>
    <w:rsid w:val="00B25226"/>
    <w:rsid w:val="00B3030F"/>
    <w:rsid w:val="00B30963"/>
    <w:rsid w:val="00B30A15"/>
    <w:rsid w:val="00B30DB5"/>
    <w:rsid w:val="00B3219E"/>
    <w:rsid w:val="00B3446D"/>
    <w:rsid w:val="00B3513C"/>
    <w:rsid w:val="00B352A1"/>
    <w:rsid w:val="00B356D0"/>
    <w:rsid w:val="00B3656C"/>
    <w:rsid w:val="00B36D02"/>
    <w:rsid w:val="00B37F63"/>
    <w:rsid w:val="00B41423"/>
    <w:rsid w:val="00B42554"/>
    <w:rsid w:val="00B43627"/>
    <w:rsid w:val="00B450B8"/>
    <w:rsid w:val="00B46806"/>
    <w:rsid w:val="00B46EC9"/>
    <w:rsid w:val="00B476B1"/>
    <w:rsid w:val="00B50A8A"/>
    <w:rsid w:val="00B510C5"/>
    <w:rsid w:val="00B516F8"/>
    <w:rsid w:val="00B51A0B"/>
    <w:rsid w:val="00B5250E"/>
    <w:rsid w:val="00B526D2"/>
    <w:rsid w:val="00B52EDA"/>
    <w:rsid w:val="00B536FD"/>
    <w:rsid w:val="00B53C6E"/>
    <w:rsid w:val="00B54944"/>
    <w:rsid w:val="00B54DB4"/>
    <w:rsid w:val="00B55B42"/>
    <w:rsid w:val="00B57005"/>
    <w:rsid w:val="00B57866"/>
    <w:rsid w:val="00B57B10"/>
    <w:rsid w:val="00B6104A"/>
    <w:rsid w:val="00B61CE6"/>
    <w:rsid w:val="00B63145"/>
    <w:rsid w:val="00B63879"/>
    <w:rsid w:val="00B63C3C"/>
    <w:rsid w:val="00B64E2E"/>
    <w:rsid w:val="00B6505C"/>
    <w:rsid w:val="00B6574B"/>
    <w:rsid w:val="00B662AA"/>
    <w:rsid w:val="00B66FC1"/>
    <w:rsid w:val="00B67D01"/>
    <w:rsid w:val="00B71D1A"/>
    <w:rsid w:val="00B725A7"/>
    <w:rsid w:val="00B72B79"/>
    <w:rsid w:val="00B72D45"/>
    <w:rsid w:val="00B736E7"/>
    <w:rsid w:val="00B73C48"/>
    <w:rsid w:val="00B743A4"/>
    <w:rsid w:val="00B75C73"/>
    <w:rsid w:val="00B77189"/>
    <w:rsid w:val="00B800C0"/>
    <w:rsid w:val="00B81DAF"/>
    <w:rsid w:val="00B8206B"/>
    <w:rsid w:val="00B83968"/>
    <w:rsid w:val="00B85360"/>
    <w:rsid w:val="00B85590"/>
    <w:rsid w:val="00B85801"/>
    <w:rsid w:val="00B85A88"/>
    <w:rsid w:val="00B86BD8"/>
    <w:rsid w:val="00B86DE6"/>
    <w:rsid w:val="00B87635"/>
    <w:rsid w:val="00B90B90"/>
    <w:rsid w:val="00B9123B"/>
    <w:rsid w:val="00B91820"/>
    <w:rsid w:val="00B9195D"/>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2C7"/>
    <w:rsid w:val="00BD3C8F"/>
    <w:rsid w:val="00BD4C86"/>
    <w:rsid w:val="00BD5E7C"/>
    <w:rsid w:val="00BE2EA0"/>
    <w:rsid w:val="00BE3D82"/>
    <w:rsid w:val="00BE4404"/>
    <w:rsid w:val="00BE470D"/>
    <w:rsid w:val="00BE5474"/>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437E"/>
    <w:rsid w:val="00C0486E"/>
    <w:rsid w:val="00C049DA"/>
    <w:rsid w:val="00C05295"/>
    <w:rsid w:val="00C06418"/>
    <w:rsid w:val="00C1138B"/>
    <w:rsid w:val="00C12679"/>
    <w:rsid w:val="00C127A7"/>
    <w:rsid w:val="00C12FB6"/>
    <w:rsid w:val="00C1511E"/>
    <w:rsid w:val="00C16013"/>
    <w:rsid w:val="00C16047"/>
    <w:rsid w:val="00C20FE3"/>
    <w:rsid w:val="00C22556"/>
    <w:rsid w:val="00C2260F"/>
    <w:rsid w:val="00C230B6"/>
    <w:rsid w:val="00C23A80"/>
    <w:rsid w:val="00C255CF"/>
    <w:rsid w:val="00C25DCF"/>
    <w:rsid w:val="00C25FDD"/>
    <w:rsid w:val="00C264EA"/>
    <w:rsid w:val="00C26541"/>
    <w:rsid w:val="00C27FE8"/>
    <w:rsid w:val="00C37DE2"/>
    <w:rsid w:val="00C40217"/>
    <w:rsid w:val="00C407FD"/>
    <w:rsid w:val="00C43831"/>
    <w:rsid w:val="00C459FD"/>
    <w:rsid w:val="00C45C9D"/>
    <w:rsid w:val="00C47339"/>
    <w:rsid w:val="00C47A98"/>
    <w:rsid w:val="00C5295E"/>
    <w:rsid w:val="00C5320C"/>
    <w:rsid w:val="00C53B17"/>
    <w:rsid w:val="00C55E6D"/>
    <w:rsid w:val="00C5610F"/>
    <w:rsid w:val="00C57742"/>
    <w:rsid w:val="00C57D77"/>
    <w:rsid w:val="00C610D0"/>
    <w:rsid w:val="00C6169B"/>
    <w:rsid w:val="00C6193B"/>
    <w:rsid w:val="00C620A0"/>
    <w:rsid w:val="00C621BC"/>
    <w:rsid w:val="00C62402"/>
    <w:rsid w:val="00C63C57"/>
    <w:rsid w:val="00C63CF4"/>
    <w:rsid w:val="00C64F97"/>
    <w:rsid w:val="00C65BAA"/>
    <w:rsid w:val="00C65BDE"/>
    <w:rsid w:val="00C66B6B"/>
    <w:rsid w:val="00C71277"/>
    <w:rsid w:val="00C7411B"/>
    <w:rsid w:val="00C75456"/>
    <w:rsid w:val="00C80038"/>
    <w:rsid w:val="00C82586"/>
    <w:rsid w:val="00C82AB7"/>
    <w:rsid w:val="00C838B9"/>
    <w:rsid w:val="00C83D50"/>
    <w:rsid w:val="00C845B4"/>
    <w:rsid w:val="00C84C6B"/>
    <w:rsid w:val="00C8539F"/>
    <w:rsid w:val="00C86CC4"/>
    <w:rsid w:val="00C87B39"/>
    <w:rsid w:val="00C91310"/>
    <w:rsid w:val="00C915EC"/>
    <w:rsid w:val="00C91EE5"/>
    <w:rsid w:val="00C92B39"/>
    <w:rsid w:val="00C934B3"/>
    <w:rsid w:val="00C94D4A"/>
    <w:rsid w:val="00C956AE"/>
    <w:rsid w:val="00C95B92"/>
    <w:rsid w:val="00C95E4C"/>
    <w:rsid w:val="00C96A4A"/>
    <w:rsid w:val="00C97B86"/>
    <w:rsid w:val="00C97C11"/>
    <w:rsid w:val="00CA1642"/>
    <w:rsid w:val="00CA2C91"/>
    <w:rsid w:val="00CA2DF7"/>
    <w:rsid w:val="00CA4250"/>
    <w:rsid w:val="00CA5EC7"/>
    <w:rsid w:val="00CA6439"/>
    <w:rsid w:val="00CA7C0C"/>
    <w:rsid w:val="00CB25A8"/>
    <w:rsid w:val="00CB2902"/>
    <w:rsid w:val="00CB3E2F"/>
    <w:rsid w:val="00CB46D0"/>
    <w:rsid w:val="00CB4E36"/>
    <w:rsid w:val="00CB5B8D"/>
    <w:rsid w:val="00CC05D6"/>
    <w:rsid w:val="00CC06CE"/>
    <w:rsid w:val="00CC0C57"/>
    <w:rsid w:val="00CC0F84"/>
    <w:rsid w:val="00CC18C4"/>
    <w:rsid w:val="00CC1DD7"/>
    <w:rsid w:val="00CC3546"/>
    <w:rsid w:val="00CC7367"/>
    <w:rsid w:val="00CD05C7"/>
    <w:rsid w:val="00CD2593"/>
    <w:rsid w:val="00CD26D7"/>
    <w:rsid w:val="00CD5AE8"/>
    <w:rsid w:val="00CD637C"/>
    <w:rsid w:val="00CD6632"/>
    <w:rsid w:val="00CD762E"/>
    <w:rsid w:val="00CE18B8"/>
    <w:rsid w:val="00CE25F4"/>
    <w:rsid w:val="00CE2FAA"/>
    <w:rsid w:val="00CE4383"/>
    <w:rsid w:val="00CF0496"/>
    <w:rsid w:val="00CF112D"/>
    <w:rsid w:val="00CF17E3"/>
    <w:rsid w:val="00CF3500"/>
    <w:rsid w:val="00CF3B9C"/>
    <w:rsid w:val="00CF4D9E"/>
    <w:rsid w:val="00CF51E1"/>
    <w:rsid w:val="00CF54D3"/>
    <w:rsid w:val="00D02577"/>
    <w:rsid w:val="00D053F8"/>
    <w:rsid w:val="00D07985"/>
    <w:rsid w:val="00D10425"/>
    <w:rsid w:val="00D11216"/>
    <w:rsid w:val="00D14674"/>
    <w:rsid w:val="00D14D89"/>
    <w:rsid w:val="00D155D6"/>
    <w:rsid w:val="00D163B6"/>
    <w:rsid w:val="00D1687D"/>
    <w:rsid w:val="00D17EBB"/>
    <w:rsid w:val="00D21460"/>
    <w:rsid w:val="00D216D7"/>
    <w:rsid w:val="00D23A93"/>
    <w:rsid w:val="00D23CE9"/>
    <w:rsid w:val="00D247DD"/>
    <w:rsid w:val="00D2521A"/>
    <w:rsid w:val="00D25F92"/>
    <w:rsid w:val="00D26446"/>
    <w:rsid w:val="00D30E78"/>
    <w:rsid w:val="00D31BD1"/>
    <w:rsid w:val="00D323D0"/>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525B"/>
    <w:rsid w:val="00D55412"/>
    <w:rsid w:val="00D5656B"/>
    <w:rsid w:val="00D603AE"/>
    <w:rsid w:val="00D6064F"/>
    <w:rsid w:val="00D6079F"/>
    <w:rsid w:val="00D6145E"/>
    <w:rsid w:val="00D61636"/>
    <w:rsid w:val="00D61E5A"/>
    <w:rsid w:val="00D62867"/>
    <w:rsid w:val="00D63665"/>
    <w:rsid w:val="00D63C57"/>
    <w:rsid w:val="00D63F07"/>
    <w:rsid w:val="00D644E6"/>
    <w:rsid w:val="00D65008"/>
    <w:rsid w:val="00D668E1"/>
    <w:rsid w:val="00D66C5A"/>
    <w:rsid w:val="00D679FD"/>
    <w:rsid w:val="00D67FD8"/>
    <w:rsid w:val="00D70651"/>
    <w:rsid w:val="00D7103E"/>
    <w:rsid w:val="00D72685"/>
    <w:rsid w:val="00D72C48"/>
    <w:rsid w:val="00D7659A"/>
    <w:rsid w:val="00D77A39"/>
    <w:rsid w:val="00D83565"/>
    <w:rsid w:val="00D85836"/>
    <w:rsid w:val="00D858B5"/>
    <w:rsid w:val="00D85E7A"/>
    <w:rsid w:val="00D867DA"/>
    <w:rsid w:val="00D870CB"/>
    <w:rsid w:val="00D91FE2"/>
    <w:rsid w:val="00D92F0D"/>
    <w:rsid w:val="00DA189F"/>
    <w:rsid w:val="00DA21E7"/>
    <w:rsid w:val="00DA2D6F"/>
    <w:rsid w:val="00DA31F5"/>
    <w:rsid w:val="00DA754E"/>
    <w:rsid w:val="00DB0545"/>
    <w:rsid w:val="00DB1B90"/>
    <w:rsid w:val="00DB38E9"/>
    <w:rsid w:val="00DB7414"/>
    <w:rsid w:val="00DB783D"/>
    <w:rsid w:val="00DC2051"/>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D7DC4"/>
    <w:rsid w:val="00DE03FE"/>
    <w:rsid w:val="00DE076B"/>
    <w:rsid w:val="00DE2A1C"/>
    <w:rsid w:val="00DE44FC"/>
    <w:rsid w:val="00DE4811"/>
    <w:rsid w:val="00DE4D3D"/>
    <w:rsid w:val="00DE4DE6"/>
    <w:rsid w:val="00DE53F4"/>
    <w:rsid w:val="00DE5F82"/>
    <w:rsid w:val="00DF206E"/>
    <w:rsid w:val="00DF4F27"/>
    <w:rsid w:val="00DF5418"/>
    <w:rsid w:val="00E018D2"/>
    <w:rsid w:val="00E01D6F"/>
    <w:rsid w:val="00E034C1"/>
    <w:rsid w:val="00E051DF"/>
    <w:rsid w:val="00E05AE3"/>
    <w:rsid w:val="00E064F4"/>
    <w:rsid w:val="00E06766"/>
    <w:rsid w:val="00E10421"/>
    <w:rsid w:val="00E10531"/>
    <w:rsid w:val="00E10593"/>
    <w:rsid w:val="00E1141F"/>
    <w:rsid w:val="00E11431"/>
    <w:rsid w:val="00E11E60"/>
    <w:rsid w:val="00E129F4"/>
    <w:rsid w:val="00E12EF9"/>
    <w:rsid w:val="00E149D8"/>
    <w:rsid w:val="00E15CA9"/>
    <w:rsid w:val="00E173AD"/>
    <w:rsid w:val="00E17D6F"/>
    <w:rsid w:val="00E201DD"/>
    <w:rsid w:val="00E21B75"/>
    <w:rsid w:val="00E228B8"/>
    <w:rsid w:val="00E22A11"/>
    <w:rsid w:val="00E246BF"/>
    <w:rsid w:val="00E26221"/>
    <w:rsid w:val="00E27002"/>
    <w:rsid w:val="00E27896"/>
    <w:rsid w:val="00E27CD4"/>
    <w:rsid w:val="00E3192D"/>
    <w:rsid w:val="00E31A9C"/>
    <w:rsid w:val="00E31CA7"/>
    <w:rsid w:val="00E407B4"/>
    <w:rsid w:val="00E40DB4"/>
    <w:rsid w:val="00E4124F"/>
    <w:rsid w:val="00E41E3C"/>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1EF"/>
    <w:rsid w:val="00E6242E"/>
    <w:rsid w:val="00E646B1"/>
    <w:rsid w:val="00E659D8"/>
    <w:rsid w:val="00E65E53"/>
    <w:rsid w:val="00E66193"/>
    <w:rsid w:val="00E67083"/>
    <w:rsid w:val="00E6799E"/>
    <w:rsid w:val="00E679A0"/>
    <w:rsid w:val="00E7056A"/>
    <w:rsid w:val="00E7095D"/>
    <w:rsid w:val="00E71CEE"/>
    <w:rsid w:val="00E72F41"/>
    <w:rsid w:val="00E73289"/>
    <w:rsid w:val="00E73A9C"/>
    <w:rsid w:val="00E74BA7"/>
    <w:rsid w:val="00E76444"/>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29C"/>
    <w:rsid w:val="00E94415"/>
    <w:rsid w:val="00E95593"/>
    <w:rsid w:val="00E978EF"/>
    <w:rsid w:val="00EA0249"/>
    <w:rsid w:val="00EA0AAB"/>
    <w:rsid w:val="00EA0E19"/>
    <w:rsid w:val="00EA15A7"/>
    <w:rsid w:val="00EA2578"/>
    <w:rsid w:val="00EA40D7"/>
    <w:rsid w:val="00EA4228"/>
    <w:rsid w:val="00EA47EB"/>
    <w:rsid w:val="00EB0429"/>
    <w:rsid w:val="00EB261F"/>
    <w:rsid w:val="00EB2951"/>
    <w:rsid w:val="00EB2AE1"/>
    <w:rsid w:val="00EB2DDC"/>
    <w:rsid w:val="00EB3D60"/>
    <w:rsid w:val="00EB68B6"/>
    <w:rsid w:val="00EB6968"/>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D6B9E"/>
    <w:rsid w:val="00EE068B"/>
    <w:rsid w:val="00EE10DA"/>
    <w:rsid w:val="00EE1502"/>
    <w:rsid w:val="00EE42D3"/>
    <w:rsid w:val="00EE483D"/>
    <w:rsid w:val="00EE4D5C"/>
    <w:rsid w:val="00EE4F89"/>
    <w:rsid w:val="00EE63E8"/>
    <w:rsid w:val="00EE655A"/>
    <w:rsid w:val="00EE6C6B"/>
    <w:rsid w:val="00EE7E27"/>
    <w:rsid w:val="00EF1207"/>
    <w:rsid w:val="00EF1677"/>
    <w:rsid w:val="00EF1751"/>
    <w:rsid w:val="00EF1C7D"/>
    <w:rsid w:val="00EF4B0F"/>
    <w:rsid w:val="00EF66A3"/>
    <w:rsid w:val="00EF7A2B"/>
    <w:rsid w:val="00F039FB"/>
    <w:rsid w:val="00F044C4"/>
    <w:rsid w:val="00F060C0"/>
    <w:rsid w:val="00F10572"/>
    <w:rsid w:val="00F13D96"/>
    <w:rsid w:val="00F14A16"/>
    <w:rsid w:val="00F1568B"/>
    <w:rsid w:val="00F16EE9"/>
    <w:rsid w:val="00F17746"/>
    <w:rsid w:val="00F2079B"/>
    <w:rsid w:val="00F21451"/>
    <w:rsid w:val="00F24FA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2915"/>
    <w:rsid w:val="00F434FC"/>
    <w:rsid w:val="00F43A35"/>
    <w:rsid w:val="00F44788"/>
    <w:rsid w:val="00F52DBE"/>
    <w:rsid w:val="00F5405F"/>
    <w:rsid w:val="00F54536"/>
    <w:rsid w:val="00F54C07"/>
    <w:rsid w:val="00F54C09"/>
    <w:rsid w:val="00F5647F"/>
    <w:rsid w:val="00F57B0B"/>
    <w:rsid w:val="00F605FF"/>
    <w:rsid w:val="00F61BFE"/>
    <w:rsid w:val="00F61CE6"/>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02D1"/>
    <w:rsid w:val="00F8250E"/>
    <w:rsid w:val="00F8351C"/>
    <w:rsid w:val="00F83EE6"/>
    <w:rsid w:val="00F859AD"/>
    <w:rsid w:val="00F86146"/>
    <w:rsid w:val="00F865DD"/>
    <w:rsid w:val="00F86BAA"/>
    <w:rsid w:val="00F921F1"/>
    <w:rsid w:val="00F9271D"/>
    <w:rsid w:val="00F93F04"/>
    <w:rsid w:val="00F95F64"/>
    <w:rsid w:val="00F9653E"/>
    <w:rsid w:val="00FA1231"/>
    <w:rsid w:val="00FA1961"/>
    <w:rsid w:val="00FA1EE5"/>
    <w:rsid w:val="00FA63E2"/>
    <w:rsid w:val="00FA6C49"/>
    <w:rsid w:val="00FA6C63"/>
    <w:rsid w:val="00FA7072"/>
    <w:rsid w:val="00FA7926"/>
    <w:rsid w:val="00FB2914"/>
    <w:rsid w:val="00FB33C5"/>
    <w:rsid w:val="00FB3912"/>
    <w:rsid w:val="00FB5A87"/>
    <w:rsid w:val="00FB633D"/>
    <w:rsid w:val="00FB69A8"/>
    <w:rsid w:val="00FB6DA0"/>
    <w:rsid w:val="00FC063C"/>
    <w:rsid w:val="00FC16CA"/>
    <w:rsid w:val="00FC1DB1"/>
    <w:rsid w:val="00FC282E"/>
    <w:rsid w:val="00FC2CB4"/>
    <w:rsid w:val="00FC4DB6"/>
    <w:rsid w:val="00FC5D85"/>
    <w:rsid w:val="00FC6864"/>
    <w:rsid w:val="00FC7C97"/>
    <w:rsid w:val="00FD1F70"/>
    <w:rsid w:val="00FD22CA"/>
    <w:rsid w:val="00FD2561"/>
    <w:rsid w:val="00FD2C6D"/>
    <w:rsid w:val="00FD3BF7"/>
    <w:rsid w:val="00FD3CA0"/>
    <w:rsid w:val="00FD675C"/>
    <w:rsid w:val="00FD7BC9"/>
    <w:rsid w:val="00FD7BFE"/>
    <w:rsid w:val="00FD7EAD"/>
    <w:rsid w:val="00FE0F5E"/>
    <w:rsid w:val="00FE1639"/>
    <w:rsid w:val="00FE19E3"/>
    <w:rsid w:val="00FE3727"/>
    <w:rsid w:val="00FE47BA"/>
    <w:rsid w:val="00FE5E16"/>
    <w:rsid w:val="00FE6D22"/>
    <w:rsid w:val="00FF23C6"/>
    <w:rsid w:val="00FF2884"/>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907211C"/>
  <w15:docId w15:val="{2721EF68-BB90-4EBF-B1BA-E1A1E7AA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 w:type="table" w:customStyle="1" w:styleId="Tablaconcuadrcula11">
    <w:name w:val="Tabla con cuadrícula11"/>
    <w:basedOn w:val="Tablanormal"/>
    <w:next w:val="Tablaconcuadrcula"/>
    <w:uiPriority w:val="59"/>
    <w:rsid w:val="008F4B1C"/>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167898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10888151">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67076174">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6094-4828-4F4D-BDB8-17AC5186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9</Pages>
  <Words>1825</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Lesly Pantoja</cp:lastModifiedBy>
  <cp:revision>158</cp:revision>
  <cp:lastPrinted>2021-12-07T18:01:00Z</cp:lastPrinted>
  <dcterms:created xsi:type="dcterms:W3CDTF">2021-11-26T20:43:00Z</dcterms:created>
  <dcterms:modified xsi:type="dcterms:W3CDTF">2021-12-07T18:02:00Z</dcterms:modified>
</cp:coreProperties>
</file>